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7BAF7" w14:textId="0330FE32" w:rsidR="007D469E" w:rsidRDefault="00B46E75">
      <w:pPr>
        <w:pStyle w:val="a4"/>
      </w:pPr>
      <w:r>
        <w:rPr>
          <w:rStyle w:val="ui-provider"/>
        </w:rPr>
        <w:t>Development of a Test Stand for Electric Fuel Cell Turbocharger Integrity Testing</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2340"/>
        <w:gridCol w:w="2340"/>
        <w:gridCol w:w="2340"/>
        <w:gridCol w:w="2340"/>
      </w:tblGrid>
      <w:tr w:rsidR="0068424B" w14:paraId="5C7E3CA7" w14:textId="77777777" w:rsidTr="00C44C72">
        <w:tc>
          <w:tcPr>
            <w:tcW w:w="2340" w:type="dxa"/>
          </w:tcPr>
          <w:p w14:paraId="3D086BE8" w14:textId="0A412898" w:rsidR="0068424B" w:rsidRPr="00D5035F" w:rsidRDefault="0068424B" w:rsidP="00D5035F">
            <w:pPr>
              <w:pStyle w:val="Affiliation"/>
              <w:spacing w:line="360" w:lineRule="auto"/>
              <w:rPr>
                <w:b/>
                <w:bCs/>
              </w:rPr>
            </w:pPr>
            <w:r w:rsidRPr="00D5035F">
              <w:rPr>
                <w:b/>
                <w:bCs/>
              </w:rPr>
              <w:t>Georgios Karakasis</w:t>
            </w:r>
          </w:p>
          <w:p w14:paraId="3293F926" w14:textId="77777777" w:rsidR="0068424B" w:rsidRPr="00B46E75" w:rsidRDefault="0068424B">
            <w:pPr>
              <w:pStyle w:val="Affiliation"/>
              <w:rPr>
                <w:i/>
                <w:iCs/>
              </w:rPr>
            </w:pPr>
            <w:r w:rsidRPr="00D5035F">
              <w:rPr>
                <w:i/>
                <w:iCs/>
              </w:rPr>
              <w:t>IHI Charging Systems International</w:t>
            </w:r>
          </w:p>
        </w:tc>
        <w:tc>
          <w:tcPr>
            <w:tcW w:w="2340" w:type="dxa"/>
          </w:tcPr>
          <w:p w14:paraId="70D7B869" w14:textId="77777777" w:rsidR="0068424B" w:rsidRPr="00D5035F" w:rsidRDefault="0068424B" w:rsidP="00D5035F">
            <w:pPr>
              <w:pStyle w:val="Affiliation"/>
              <w:spacing w:line="360" w:lineRule="auto"/>
              <w:rPr>
                <w:b/>
                <w:bCs/>
              </w:rPr>
            </w:pPr>
            <w:r w:rsidRPr="00D5035F">
              <w:rPr>
                <w:b/>
                <w:bCs/>
              </w:rPr>
              <w:t>Sebastian Kunze</w:t>
            </w:r>
          </w:p>
          <w:p w14:paraId="07206E23" w14:textId="3B6E81CA" w:rsidR="0068424B" w:rsidRPr="00D5035F" w:rsidRDefault="0068424B">
            <w:pPr>
              <w:pStyle w:val="Affiliation"/>
              <w:rPr>
                <w:i/>
                <w:iCs/>
              </w:rPr>
            </w:pPr>
            <w:r w:rsidRPr="00D5035F">
              <w:rPr>
                <w:i/>
                <w:iCs/>
              </w:rPr>
              <w:t>IHI Charging Systems International</w:t>
            </w:r>
          </w:p>
        </w:tc>
        <w:tc>
          <w:tcPr>
            <w:tcW w:w="2340" w:type="dxa"/>
          </w:tcPr>
          <w:p w14:paraId="287167C5" w14:textId="42DB4822" w:rsidR="0068424B" w:rsidRPr="00D5035F" w:rsidRDefault="0068424B" w:rsidP="00D5035F">
            <w:pPr>
              <w:pStyle w:val="Affiliation"/>
              <w:spacing w:line="360" w:lineRule="auto"/>
              <w:rPr>
                <w:b/>
                <w:bCs/>
              </w:rPr>
            </w:pPr>
            <w:r w:rsidRPr="00D5035F">
              <w:rPr>
                <w:b/>
                <w:bCs/>
              </w:rPr>
              <w:t>Georgios Iosifidis</w:t>
            </w:r>
          </w:p>
          <w:p w14:paraId="4537A93B" w14:textId="77777777" w:rsidR="0068424B" w:rsidRPr="00B46E75" w:rsidRDefault="0068424B" w:rsidP="00B46E75">
            <w:pPr>
              <w:pStyle w:val="Affiliation"/>
              <w:rPr>
                <w:i/>
                <w:iCs/>
              </w:rPr>
            </w:pPr>
            <w:r w:rsidRPr="00B46E75">
              <w:rPr>
                <w:i/>
                <w:iCs/>
              </w:rPr>
              <w:t>IHI Charging Systems International</w:t>
            </w:r>
          </w:p>
        </w:tc>
        <w:tc>
          <w:tcPr>
            <w:tcW w:w="2340" w:type="dxa"/>
          </w:tcPr>
          <w:p w14:paraId="652F5FE4" w14:textId="77777777" w:rsidR="0068424B" w:rsidRPr="00D5035F" w:rsidRDefault="0068424B" w:rsidP="00D5035F">
            <w:pPr>
              <w:pStyle w:val="Affiliation"/>
              <w:spacing w:line="360" w:lineRule="auto"/>
              <w:rPr>
                <w:b/>
                <w:bCs/>
              </w:rPr>
            </w:pPr>
            <w:r w:rsidRPr="00D5035F">
              <w:rPr>
                <w:b/>
                <w:bCs/>
              </w:rPr>
              <w:t>Anestis Kalfas</w:t>
            </w:r>
          </w:p>
          <w:p w14:paraId="38D4F315" w14:textId="02A720B4" w:rsidR="0068424B" w:rsidRPr="00D5035F" w:rsidRDefault="0068424B">
            <w:pPr>
              <w:pStyle w:val="Affiliation"/>
              <w:rPr>
                <w:i/>
                <w:iCs/>
              </w:rPr>
            </w:pPr>
            <w:r w:rsidRPr="00D5035F">
              <w:rPr>
                <w:i/>
                <w:iCs/>
              </w:rPr>
              <w:t>Aristotle University of Thessaloniki</w:t>
            </w:r>
          </w:p>
        </w:tc>
      </w:tr>
    </w:tbl>
    <w:p w14:paraId="71E9C335" w14:textId="77777777" w:rsidR="007D469E" w:rsidRDefault="007D469E">
      <w:pPr>
        <w:pStyle w:val="AbstractClauseTitle"/>
        <w:sectPr w:rsidR="007D469E" w:rsidSect="00EB4FEC">
          <w:headerReference w:type="default" r:id="rId7"/>
          <w:footerReference w:type="default" r:id="rId8"/>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rsidSect="00EB4FEC">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BD77272" w14:textId="17162DDC" w:rsidR="006100CE" w:rsidRPr="006100CE" w:rsidRDefault="006100CE" w:rsidP="001327BE">
      <w:pPr>
        <w:pStyle w:val="paragraph"/>
        <w:spacing w:before="0" w:beforeAutospacing="0" w:after="0" w:afterAutospacing="0"/>
        <w:ind w:firstLine="360"/>
        <w:jc w:val="both"/>
        <w:textAlignment w:val="baseline"/>
        <w:rPr>
          <w:rFonts w:ascii="Segoe UI" w:hAnsi="Segoe UI" w:cs="Segoe UI"/>
          <w:sz w:val="18"/>
          <w:szCs w:val="18"/>
          <w:lang w:val="en-US"/>
        </w:rPr>
      </w:pPr>
      <w:r>
        <w:rPr>
          <w:rStyle w:val="normaltextrun"/>
          <w:sz w:val="20"/>
          <w:szCs w:val="20"/>
          <w:lang w:val="en-US"/>
        </w:rPr>
        <w:t>Hydrogen fuel cell technology is identified as a key technology for a carbon-free society. It provides a great balance between environmental impact, power density, powertrain manufacturing costs and lastly total cost of ownership.</w:t>
      </w:r>
      <w:r w:rsidR="001327BE">
        <w:rPr>
          <w:rStyle w:val="normaltextrun"/>
          <w:sz w:val="20"/>
          <w:szCs w:val="20"/>
          <w:lang w:val="en-US"/>
        </w:rPr>
        <w:t xml:space="preserve"> </w:t>
      </w:r>
      <w:r>
        <w:rPr>
          <w:rStyle w:val="normaltextrun"/>
          <w:sz w:val="20"/>
          <w:szCs w:val="20"/>
          <w:lang w:val="en-US"/>
        </w:rPr>
        <w:t>Like an internal combustion engine, a fuel cell system requires a specific supply of oxygen. Known technologies, such as an electrical turbocharger comprising a compressor and turbine stage as well as an electric motor can be used to deliver the required amount of air to the fuel cell. It is necessary to supply the fuel cell with pressurized air to increase the total system efficiency</w:t>
      </w:r>
      <w:r w:rsidR="00F22B13">
        <w:rPr>
          <w:rStyle w:val="normaltextrun"/>
          <w:sz w:val="20"/>
          <w:szCs w:val="20"/>
          <w:lang w:val="en-US"/>
        </w:rPr>
        <w:t xml:space="preserve"> [1]</w:t>
      </w:r>
      <w:r>
        <w:rPr>
          <w:rStyle w:val="normaltextrun"/>
          <w:sz w:val="20"/>
          <w:szCs w:val="20"/>
          <w:lang w:val="en-US"/>
        </w:rPr>
        <w:t xml:space="preserve">. </w:t>
      </w:r>
      <w:r w:rsidR="00635772">
        <w:rPr>
          <w:rStyle w:val="normaltextrun"/>
          <w:sz w:val="20"/>
          <w:szCs w:val="20"/>
          <w:lang w:val="en-US"/>
        </w:rPr>
        <w:t>Including</w:t>
      </w:r>
      <w:r>
        <w:rPr>
          <w:rStyle w:val="normaltextrun"/>
          <w:sz w:val="20"/>
          <w:szCs w:val="20"/>
          <w:lang w:val="en-US"/>
        </w:rPr>
        <w:t xml:space="preserve"> a turbine stage</w:t>
      </w:r>
      <w:r w:rsidR="00635772">
        <w:rPr>
          <w:rStyle w:val="normaltextrun"/>
          <w:sz w:val="20"/>
          <w:szCs w:val="20"/>
          <w:lang w:val="en-US"/>
        </w:rPr>
        <w:t xml:space="preserve"> on the charging system</w:t>
      </w:r>
      <w:r>
        <w:rPr>
          <w:rStyle w:val="normaltextrun"/>
          <w:sz w:val="20"/>
          <w:szCs w:val="20"/>
          <w:lang w:val="en-US"/>
        </w:rPr>
        <w:t>, the electrical power provided to the compressor stage can be reduced by up to 30%, increasing the total system efficiency drastically</w:t>
      </w:r>
      <w:r w:rsidR="00E50C88">
        <w:rPr>
          <w:rStyle w:val="normaltextrun"/>
          <w:sz w:val="20"/>
          <w:szCs w:val="20"/>
          <w:lang w:val="en-US"/>
        </w:rPr>
        <w:t xml:space="preserve"> [</w:t>
      </w:r>
      <w:r w:rsidR="00F22B13">
        <w:rPr>
          <w:rStyle w:val="normaltextrun"/>
          <w:sz w:val="20"/>
          <w:szCs w:val="20"/>
          <w:lang w:val="en-US"/>
        </w:rPr>
        <w:t>2</w:t>
      </w:r>
      <w:r w:rsidR="00E50C88">
        <w:rPr>
          <w:rStyle w:val="normaltextrun"/>
          <w:sz w:val="20"/>
          <w:szCs w:val="20"/>
          <w:lang w:val="en-US"/>
        </w:rPr>
        <w:t>]</w:t>
      </w:r>
      <w:r>
        <w:rPr>
          <w:rStyle w:val="normaltextrun"/>
          <w:sz w:val="20"/>
          <w:szCs w:val="20"/>
          <w:lang w:val="en-US"/>
        </w:rPr>
        <w:t>.</w:t>
      </w:r>
      <w:r w:rsidR="001327BE">
        <w:rPr>
          <w:rStyle w:val="normaltextrun"/>
          <w:sz w:val="20"/>
          <w:szCs w:val="20"/>
          <w:lang w:val="en-US"/>
        </w:rPr>
        <w:t xml:space="preserve"> </w:t>
      </w:r>
      <w:r>
        <w:rPr>
          <w:rStyle w:val="normaltextrun"/>
          <w:sz w:val="20"/>
          <w:szCs w:val="20"/>
          <w:lang w:val="en-US"/>
        </w:rPr>
        <w:t>The presented paper provides an overview of a test bed</w:t>
      </w:r>
      <w:r w:rsidR="005D6FC4">
        <w:rPr>
          <w:rStyle w:val="normaltextrun"/>
          <w:sz w:val="20"/>
          <w:szCs w:val="20"/>
          <w:lang w:val="en-US"/>
        </w:rPr>
        <w:t xml:space="preserve"> construction</w:t>
      </w:r>
      <w:r>
        <w:rPr>
          <w:rStyle w:val="normaltextrun"/>
          <w:sz w:val="20"/>
          <w:szCs w:val="20"/>
          <w:lang w:val="en-US"/>
        </w:rPr>
        <w:t xml:space="preserve"> to simulate the air and liquid water conditions of a Proton Exchange Membrane (PEM) fuel cell exhaust. Also, this test bed will be used to investigate the impact of these conditions on a fuel cell charging system with an aluminum turbine alongside the necessity and performance of water separators.</w:t>
      </w:r>
      <w:r w:rsidRPr="006100CE">
        <w:rPr>
          <w:rStyle w:val="eop"/>
          <w:sz w:val="20"/>
          <w:szCs w:val="20"/>
          <w:lang w:val="en-US"/>
        </w:rPr>
        <w:t> </w:t>
      </w:r>
    </w:p>
    <w:p w14:paraId="0151206C" w14:textId="77777777" w:rsidR="007D469E" w:rsidRDefault="007D469E">
      <w:pPr>
        <w:pStyle w:val="2"/>
      </w:pPr>
    </w:p>
    <w:p w14:paraId="205582DD" w14:textId="77777777" w:rsidR="007D469E" w:rsidRDefault="007D469E">
      <w:pPr>
        <w:pStyle w:val="AbstractClauseTitle"/>
      </w:pPr>
      <w:r>
        <w:t>introduction</w:t>
      </w:r>
    </w:p>
    <w:p w14:paraId="1F6DA1C4" w14:textId="2FA2E76A" w:rsidR="00643F8F" w:rsidRPr="00A4490B" w:rsidRDefault="00022036" w:rsidP="001327BE">
      <w:pPr>
        <w:pStyle w:val="2"/>
      </w:pPr>
      <w:r>
        <w:t xml:space="preserve">A global goal that has been set by the Paris convention </w:t>
      </w:r>
      <w:r w:rsidR="00A4490B">
        <w:t>is to reduce the global CO</w:t>
      </w:r>
      <w:r w:rsidR="00A4490B">
        <w:softHyphen/>
      </w:r>
      <w:r w:rsidR="00A4490B">
        <w:rPr>
          <w:vertAlign w:val="subscript"/>
        </w:rPr>
        <w:t>2</w:t>
      </w:r>
      <w:r w:rsidR="00A4490B">
        <w:t xml:space="preserve"> emissions. The mean earth’s temperature has been on a steady incline from the year 1930 </w:t>
      </w:r>
      <w:r w:rsidR="00F73878">
        <w:t>[</w:t>
      </w:r>
      <w:r w:rsidR="00F22B13">
        <w:t>3</w:t>
      </w:r>
      <w:r w:rsidR="00F73878">
        <w:t>]</w:t>
      </w:r>
      <w:r w:rsidR="00A4490B">
        <w:t xml:space="preserve"> with the critical 2</w:t>
      </w:r>
      <w:r w:rsidR="00A4490B">
        <w:rPr>
          <w:vertAlign w:val="superscript"/>
        </w:rPr>
        <w:t>o</w:t>
      </w:r>
      <w:r w:rsidR="00A4490B">
        <w:t>C ceiling being ever so close. Dividing the global emissions in sectors we can identify the transportation sector as a leader, surpassing the public energy and heat production [</w:t>
      </w:r>
      <w:r w:rsidR="00F22B13">
        <w:t>4</w:t>
      </w:r>
      <w:r w:rsidR="00A4490B">
        <w:t>].</w:t>
      </w:r>
      <w:r w:rsidR="001327BE">
        <w:t xml:space="preserve"> </w:t>
      </w:r>
      <w:r w:rsidR="00C803AA">
        <w:t xml:space="preserve">IHI </w:t>
      </w:r>
      <w:r w:rsidR="00A93ECF">
        <w:t xml:space="preserve">is assisting in </w:t>
      </w:r>
      <w:r w:rsidR="004559C5">
        <w:t>global</w:t>
      </w:r>
      <w:r w:rsidR="00A93ECF">
        <w:t xml:space="preserve"> power generation with renewable energy. Renewable energy does, unfortunately, come with the problems of poor density, high production </w:t>
      </w:r>
      <w:r w:rsidR="00085E31">
        <w:t xml:space="preserve">costs </w:t>
      </w:r>
      <w:r w:rsidR="00A93ECF">
        <w:t xml:space="preserve">and environmental detriments. These environmental detriments range from huge changes to landscape being mandatory for the transportation and installation of equipment such as wind power to changing the </w:t>
      </w:r>
      <w:r w:rsidR="00085E31">
        <w:t xml:space="preserve">flora and fauna </w:t>
      </w:r>
      <w:r w:rsidR="00A93ECF">
        <w:t>ecosystem</w:t>
      </w:r>
      <w:r w:rsidR="00D47000">
        <w:t>s</w:t>
      </w:r>
      <w:r w:rsidR="00A93ECF">
        <w:t xml:space="preserve"> </w:t>
      </w:r>
      <w:r w:rsidR="002D1A6A">
        <w:t>because of</w:t>
      </w:r>
      <w:r w:rsidR="00A93ECF">
        <w:t xml:space="preserve"> dams</w:t>
      </w:r>
      <w:r w:rsidR="002D1A6A">
        <w:t xml:space="preserve"> for hydropower plants</w:t>
      </w:r>
      <w:r w:rsidR="00A93ECF">
        <w:t>.</w:t>
      </w:r>
      <w:r w:rsidR="001327BE">
        <w:t xml:space="preserve"> </w:t>
      </w:r>
      <w:r w:rsidR="00643F8F">
        <w:t>For these reasons, IHI has been investing into hydrogen technology not only for transportation of medium to large vehicles but also general transportation such as marine and aviation.</w:t>
      </w:r>
      <w:r w:rsidR="00447DAA">
        <w:t xml:space="preserve"> Also, IHI with the collaboration of global partners is developing a pathway to ammonia production, storage and usage.</w:t>
      </w:r>
    </w:p>
    <w:p w14:paraId="4ACF6B0E" w14:textId="77777777" w:rsidR="007D469E" w:rsidRDefault="007D469E" w:rsidP="007D469E">
      <w:pPr>
        <w:pStyle w:val="NomenclatureClauseTitle"/>
      </w:pPr>
      <w:r>
        <w:t>RESULTS and DISCUSSION</w:t>
      </w:r>
    </w:p>
    <w:p w14:paraId="5BF56C33" w14:textId="4AD24261" w:rsidR="007D469E" w:rsidRDefault="00805E6C" w:rsidP="001327BE">
      <w:pPr>
        <w:pStyle w:val="2"/>
      </w:pPr>
      <w:r w:rsidRPr="001F185E">
        <w:t>Constructing a test cell add</w:t>
      </w:r>
      <w:r w:rsidR="00FB4F77" w:rsidRPr="001F185E">
        <w:t>-</w:t>
      </w:r>
      <w:r w:rsidRPr="001F185E">
        <w:t>on for characterizing droplet separators while also being able to cause erosion of the turbine stage of a PEM fuel cell charging system was successful.</w:t>
      </w:r>
      <w:r w:rsidR="001327BE" w:rsidRPr="001F185E">
        <w:t xml:space="preserve"> </w:t>
      </w:r>
      <w:r w:rsidR="00FB4F77" w:rsidRPr="001F185E">
        <w:t xml:space="preserve">Two types of separators have been tested, here denoted as “Type A” and “Type B”, each one based on a different function principle. </w:t>
      </w:r>
      <w:r w:rsidRPr="001F185E">
        <w:t xml:space="preserve">Characterizing separators showed that </w:t>
      </w:r>
      <w:r w:rsidR="00FB4F77" w:rsidRPr="001F185E">
        <w:t xml:space="preserve">Type A </w:t>
      </w:r>
      <w:r w:rsidRPr="001F185E">
        <w:t xml:space="preserve">has the best separation efficiency </w:t>
      </w:r>
      <w:r w:rsidR="008C3355" w:rsidRPr="001F185E">
        <w:t xml:space="preserve">when </w:t>
      </w:r>
      <w:r w:rsidR="00F1616E" w:rsidRPr="001F185E">
        <w:t>considering</w:t>
      </w:r>
      <w:r w:rsidRPr="001F185E">
        <w:t xml:space="preserve"> the </w:t>
      </w:r>
      <w:r w:rsidR="00FB4F77" w:rsidRPr="001F185E">
        <w:t xml:space="preserve">full </w:t>
      </w:r>
      <w:r w:rsidRPr="001F185E">
        <w:t>operating range of the fuel cell charging system</w:t>
      </w:r>
      <w:r w:rsidR="00FA02A5" w:rsidRPr="001F185E">
        <w:t xml:space="preserve">. Their downside is the relation between separation efficiency and air leakage through the drain orifice </w:t>
      </w:r>
      <w:r w:rsidR="00F1616E" w:rsidRPr="001F185E">
        <w:t xml:space="preserve">which reduces </w:t>
      </w:r>
      <w:r w:rsidR="00FA02A5" w:rsidRPr="001F185E">
        <w:t>the overall efficiency of the complete system</w:t>
      </w:r>
      <w:r w:rsidRPr="001F185E">
        <w:t xml:space="preserve">. </w:t>
      </w:r>
      <w:r w:rsidR="00830F9A" w:rsidRPr="001F185E">
        <w:t>Type B</w:t>
      </w:r>
      <w:r w:rsidR="00FA02A5" w:rsidRPr="001F185E">
        <w:t xml:space="preserve"> separators showed good separation efficiency at low air mass flows but face</w:t>
      </w:r>
      <w:r w:rsidR="00830F9A" w:rsidRPr="001F185E">
        <w:t>d</w:t>
      </w:r>
      <w:r w:rsidR="00FA02A5" w:rsidRPr="001F185E">
        <w:t xml:space="preserve"> a sudden drop when increasing the main air mass flow. </w:t>
      </w:r>
      <w:r w:rsidR="008C3355" w:rsidRPr="001F185E">
        <w:t xml:space="preserve">The advantage that </w:t>
      </w:r>
      <w:r w:rsidR="002D1A6A">
        <w:t>T</w:t>
      </w:r>
      <w:r w:rsidR="008C3355" w:rsidRPr="001F185E">
        <w:t>ype</w:t>
      </w:r>
      <w:r w:rsidR="002D1A6A">
        <w:t xml:space="preserve"> B</w:t>
      </w:r>
      <w:r w:rsidR="008C3355" w:rsidRPr="001F185E">
        <w:t xml:space="preserve"> separators have over the </w:t>
      </w:r>
      <w:r w:rsidR="002D1A6A">
        <w:t>Type A</w:t>
      </w:r>
      <w:r w:rsidR="008C3355" w:rsidRPr="001F185E">
        <w:t xml:space="preserve"> is that minimal amount of air can escape through the drain. The pressure drop of each unit is </w:t>
      </w:r>
      <w:r w:rsidR="002D1A6A" w:rsidRPr="001F185E">
        <w:t>similar,</w:t>
      </w:r>
      <w:r w:rsidR="00830F9A" w:rsidRPr="001F185E">
        <w:t xml:space="preserve"> </w:t>
      </w:r>
      <w:r w:rsidR="008C3355" w:rsidRPr="001F185E">
        <w:t>so separation efficiency is the dominant contender</w:t>
      </w:r>
      <w:r w:rsidR="00635772">
        <w:t xml:space="preserve"> </w:t>
      </w:r>
      <w:r w:rsidR="00FD3108">
        <w:t>for evaluation</w:t>
      </w:r>
      <w:r w:rsidR="008C3355" w:rsidRPr="001F185E">
        <w:t>.</w:t>
      </w:r>
      <w:r w:rsidR="001327BE" w:rsidRPr="001F185E">
        <w:t xml:space="preserve"> </w:t>
      </w:r>
      <w:r w:rsidR="008C3355" w:rsidRPr="001F185E">
        <w:t xml:space="preserve">Erosion on aluminum </w:t>
      </w:r>
      <w:r w:rsidR="00053D37" w:rsidRPr="001F185E">
        <w:t xml:space="preserve">radial </w:t>
      </w:r>
      <w:r w:rsidR="008C3355" w:rsidRPr="001F185E">
        <w:t>flow turbine wheels has been investigated</w:t>
      </w:r>
      <w:r w:rsidR="00053D37" w:rsidRPr="001F185E">
        <w:t xml:space="preserve"> </w:t>
      </w:r>
      <w:r w:rsidR="006D212A" w:rsidRPr="001F185E">
        <w:t>in literature</w:t>
      </w:r>
      <w:r w:rsidR="00F1616E" w:rsidRPr="001F185E">
        <w:t>,</w:t>
      </w:r>
      <w:r w:rsidR="00053D37" w:rsidRPr="001F185E">
        <w:t xml:space="preserve"> showing similar results with the experiments conducted on the testbench.  </w:t>
      </w:r>
      <w:r w:rsidR="00830F9A" w:rsidRPr="001F185E">
        <w:t>A</w:t>
      </w:r>
      <w:r w:rsidR="00053D37" w:rsidRPr="001F185E">
        <w:t xml:space="preserve">luminum radial flow turbine wheels with </w:t>
      </w:r>
      <w:r w:rsidR="00497DA2" w:rsidRPr="001F185E">
        <w:t>guide vanes</w:t>
      </w:r>
      <w:r w:rsidR="001F185E">
        <w:t xml:space="preserve"> </w:t>
      </w:r>
      <w:r w:rsidR="00053D37" w:rsidRPr="001F185E">
        <w:t>do not show similar erosion patterns</w:t>
      </w:r>
      <w:r w:rsidR="00497DA2" w:rsidRPr="001F185E">
        <w:t>;</w:t>
      </w:r>
      <w:r w:rsidR="00053D37" w:rsidRPr="001F185E">
        <w:t xml:space="preserve"> this is most likely cause</w:t>
      </w:r>
      <w:r w:rsidR="004559C5" w:rsidRPr="001F185E">
        <w:t>d</w:t>
      </w:r>
      <w:r w:rsidR="00053D37" w:rsidRPr="001F185E">
        <w:t xml:space="preserve"> by droplet</w:t>
      </w:r>
      <w:r w:rsidR="00830F9A">
        <w:t>-</w:t>
      </w:r>
      <w:r w:rsidR="00053D37">
        <w:t>to</w:t>
      </w:r>
      <w:r w:rsidR="00830F9A">
        <w:t>-</w:t>
      </w:r>
      <w:r w:rsidR="00053D37">
        <w:t>droplet or droplet</w:t>
      </w:r>
      <w:r w:rsidR="00830F9A">
        <w:t>-</w:t>
      </w:r>
      <w:r w:rsidR="00053D37">
        <w:t>to</w:t>
      </w:r>
      <w:r w:rsidR="00830F9A">
        <w:t>-</w:t>
      </w:r>
      <w:r w:rsidR="00053D37">
        <w:t xml:space="preserve">surface interactions. It also appears that certain droplet sizes </w:t>
      </w:r>
      <w:r w:rsidR="004559C5">
        <w:t>affect</w:t>
      </w:r>
      <w:r w:rsidR="00053D37">
        <w:t xml:space="preserve"> the turbine wheel different</w:t>
      </w:r>
      <w:r w:rsidR="006D212A">
        <w:t>ly</w:t>
      </w:r>
      <w:r w:rsidR="00053D37">
        <w:t xml:space="preserve"> tha</w:t>
      </w:r>
      <w:r w:rsidR="006D212A">
        <w:t>n</w:t>
      </w:r>
      <w:r w:rsidR="00053D37">
        <w:t xml:space="preserve"> others. Extremely fine particles skip the surfaces and leave through the outlet, medium droplets impact the wheel while very large droplets accumulate on the volute</w:t>
      </w:r>
      <w:r w:rsidR="00F1616E">
        <w:t xml:space="preserve">, bursting into </w:t>
      </w:r>
      <w:r w:rsidR="00053D37">
        <w:t xml:space="preserve">smaller droplets that in </w:t>
      </w:r>
      <w:r w:rsidR="004559C5">
        <w:t>turn</w:t>
      </w:r>
      <w:r w:rsidR="00053D37">
        <w:t xml:space="preserve"> impact the turbine wheel.</w:t>
      </w:r>
      <w:r w:rsidR="001327BE">
        <w:t xml:space="preserve"> </w:t>
      </w:r>
      <w:r w:rsidR="00053D37">
        <w:t xml:space="preserve">It is shown that erosion on the turbine stage, although inevitable, is not </w:t>
      </w:r>
      <w:r w:rsidR="004559C5">
        <w:t>detrimental</w:t>
      </w:r>
      <w:r w:rsidR="00053D37">
        <w:t xml:space="preserve"> to the lifecycle as it might appear </w:t>
      </w:r>
      <w:r w:rsidR="004559C5">
        <w:t>at</w:t>
      </w:r>
      <w:r w:rsidR="00053D37">
        <w:t xml:space="preserve"> first glance. </w:t>
      </w:r>
      <w:r w:rsidR="006D212A">
        <w:t>A lot of time must elapse f</w:t>
      </w:r>
      <w:r w:rsidR="00053D37">
        <w:t xml:space="preserve">or the water droplets to cause critical </w:t>
      </w:r>
      <w:r w:rsidR="001327BE">
        <w:t>damage</w:t>
      </w:r>
      <w:r w:rsidR="00053D37">
        <w:t xml:space="preserve"> to the turbine stage</w:t>
      </w:r>
      <w:r w:rsidR="006D212A">
        <w:t xml:space="preserve"> for the integrity of the system to </w:t>
      </w:r>
      <w:r w:rsidR="006D212A">
        <w:lastRenderedPageBreak/>
        <w:t>be compromised</w:t>
      </w:r>
      <w:r w:rsidR="00053D37">
        <w:t>. The amount of time for these phenomena to act might be twice or three times the life expectancy of the whole fuel cell system.</w:t>
      </w:r>
    </w:p>
    <w:p w14:paraId="5A597D2B" w14:textId="77777777" w:rsidR="00B97B56" w:rsidRDefault="00B97B56" w:rsidP="002D1A6A">
      <w:pPr>
        <w:pStyle w:val="2"/>
        <w:ind w:firstLine="0"/>
      </w:pPr>
    </w:p>
    <w:tbl>
      <w:tblPr>
        <w:tblW w:w="0" w:type="auto"/>
        <w:jc w:val="center"/>
        <w:tblLook w:val="00A0" w:firstRow="1" w:lastRow="0" w:firstColumn="1" w:lastColumn="0" w:noHBand="0" w:noVBand="0"/>
      </w:tblPr>
      <w:tblGrid>
        <w:gridCol w:w="9029"/>
      </w:tblGrid>
      <w:tr w:rsidR="007D469E" w14:paraId="00A388D8" w14:textId="77777777" w:rsidTr="00B97B56">
        <w:trPr>
          <w:jc w:val="center"/>
        </w:trPr>
        <w:tc>
          <w:tcPr>
            <w:tcW w:w="9029" w:type="dxa"/>
            <w:shd w:val="clear" w:color="auto" w:fill="auto"/>
          </w:tcPr>
          <w:p w14:paraId="17C52184" w14:textId="3807B45D" w:rsidR="007D469E" w:rsidRDefault="001F185E" w:rsidP="00161975">
            <w:pPr>
              <w:pStyle w:val="2"/>
              <w:ind w:firstLine="0"/>
            </w:pPr>
            <w:r>
              <w:rPr>
                <w:noProof/>
              </w:rPr>
              <w:drawing>
                <wp:inline distT="0" distB="0" distL="0" distR="0" wp14:anchorId="1A9F1354" wp14:editId="0D1D06A9">
                  <wp:extent cx="5725160" cy="3036371"/>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rotWithShape="1">
                          <a:blip r:embed="rId11" cstate="print">
                            <a:extLst>
                              <a:ext uri="{28A0092B-C50C-407E-A947-70E740481C1C}">
                                <a14:useLocalDpi xmlns:a14="http://schemas.microsoft.com/office/drawing/2010/main" val="0"/>
                              </a:ext>
                            </a:extLst>
                          </a:blip>
                          <a:srcRect t="29255"/>
                          <a:stretch/>
                        </pic:blipFill>
                        <pic:spPr bwMode="auto">
                          <a:xfrm>
                            <a:off x="0" y="0"/>
                            <a:ext cx="5725160" cy="30363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D469E" w14:paraId="5C65E74C" w14:textId="77777777" w:rsidTr="00B97B56">
        <w:trPr>
          <w:jc w:val="center"/>
        </w:trPr>
        <w:tc>
          <w:tcPr>
            <w:tcW w:w="9029" w:type="dxa"/>
            <w:shd w:val="clear" w:color="auto" w:fill="auto"/>
          </w:tcPr>
          <w:p w14:paraId="1CC56950" w14:textId="7C1403B9" w:rsidR="007D469E" w:rsidRPr="007D469E" w:rsidRDefault="007D469E" w:rsidP="007D469E">
            <w:pPr>
              <w:pStyle w:val="2"/>
              <w:ind w:firstLine="0"/>
              <w:jc w:val="center"/>
              <w:rPr>
                <w:b/>
              </w:rPr>
            </w:pPr>
            <w:r w:rsidRPr="001F185E">
              <w:rPr>
                <w:b/>
              </w:rPr>
              <w:t xml:space="preserve">Figure 1. </w:t>
            </w:r>
            <w:r w:rsidR="001F185E" w:rsidRPr="001F185E">
              <w:rPr>
                <w:b/>
              </w:rPr>
              <w:t>Turbocharger</w:t>
            </w:r>
            <w:r w:rsidR="001F185E">
              <w:rPr>
                <w:b/>
              </w:rPr>
              <w:t xml:space="preserve"> setup</w:t>
            </w:r>
          </w:p>
        </w:tc>
      </w:tr>
    </w:tbl>
    <w:p w14:paraId="7AFC9C99" w14:textId="77777777" w:rsidR="00B97B56" w:rsidRDefault="00B97B56" w:rsidP="00B97B56">
      <w:pPr>
        <w:pStyle w:val="2"/>
        <w:ind w:firstLine="0"/>
        <w:rPr>
          <w:rFonts w:ascii="Arial" w:hAnsi="Arial"/>
          <w:b/>
          <w:caps/>
        </w:rPr>
      </w:pPr>
    </w:p>
    <w:p w14:paraId="01B9E320" w14:textId="75AFF951" w:rsidR="00B97B56" w:rsidRPr="00B97B56" w:rsidRDefault="00B97B56" w:rsidP="00B97B56">
      <w:pPr>
        <w:pStyle w:val="2"/>
        <w:ind w:firstLine="0"/>
        <w:rPr>
          <w:rFonts w:ascii="Arial" w:hAnsi="Arial"/>
          <w:b/>
          <w:caps/>
        </w:rPr>
      </w:pPr>
      <w:r w:rsidRPr="00B97B56">
        <w:rPr>
          <w:rFonts w:ascii="Arial" w:hAnsi="Arial"/>
          <w:b/>
          <w:caps/>
        </w:rPr>
        <w:t>ACKNOWLEDGEMENTS</w:t>
      </w:r>
    </w:p>
    <w:p w14:paraId="17EC0DE3" w14:textId="77777777" w:rsidR="00B97B56" w:rsidRDefault="00B97B56" w:rsidP="00B97B56">
      <w:pPr>
        <w:pStyle w:val="2"/>
        <w:ind w:firstLine="0"/>
      </w:pPr>
    </w:p>
    <w:p w14:paraId="534AF31A" w14:textId="33518ACD" w:rsidR="00B97B56" w:rsidRDefault="00B97B56" w:rsidP="00B97B56">
      <w:pPr>
        <w:rPr>
          <w:rFonts w:ascii="Times New Roman" w:hAnsi="Times New Roman"/>
          <w:kern w:val="14"/>
          <w:szCs w:val="20"/>
        </w:rPr>
      </w:pPr>
      <w:r w:rsidRPr="00B97B56">
        <w:rPr>
          <w:rFonts w:ascii="Times New Roman" w:hAnsi="Times New Roman"/>
          <w:kern w:val="14"/>
          <w:szCs w:val="20"/>
        </w:rPr>
        <w:t>The research program “</w:t>
      </w:r>
      <w:proofErr w:type="spellStart"/>
      <w:r w:rsidRPr="00B97B56">
        <w:rPr>
          <w:rFonts w:ascii="Times New Roman" w:hAnsi="Times New Roman"/>
          <w:kern w:val="14"/>
          <w:szCs w:val="20"/>
        </w:rPr>
        <w:t>BZ_Turbolader</w:t>
      </w:r>
      <w:proofErr w:type="spellEnd"/>
      <w:r w:rsidRPr="00B97B56">
        <w:rPr>
          <w:rFonts w:ascii="Times New Roman" w:hAnsi="Times New Roman"/>
          <w:kern w:val="14"/>
          <w:szCs w:val="20"/>
        </w:rPr>
        <w:t xml:space="preserve">" is funded by the </w:t>
      </w:r>
      <w:r w:rsidR="000F1759">
        <w:rPr>
          <w:rFonts w:ascii="Times New Roman" w:hAnsi="Times New Roman"/>
          <w:kern w:val="14"/>
          <w:szCs w:val="20"/>
        </w:rPr>
        <w:t xml:space="preserve">German </w:t>
      </w:r>
      <w:r w:rsidRPr="00B97B56">
        <w:rPr>
          <w:rFonts w:ascii="Times New Roman" w:hAnsi="Times New Roman"/>
          <w:kern w:val="14"/>
          <w:szCs w:val="20"/>
        </w:rPr>
        <w:t>Federal Ministry for Economic Affairs and Climate Action under the grant number 19I21046A.</w:t>
      </w:r>
    </w:p>
    <w:p w14:paraId="1FCBA93E" w14:textId="77777777" w:rsidR="00B97B56" w:rsidRPr="00B97B56" w:rsidRDefault="00B97B56" w:rsidP="00B97B56">
      <w:pPr>
        <w:rPr>
          <w:rFonts w:ascii="Times New Roman" w:hAnsi="Times New Roman"/>
          <w:kern w:val="14"/>
          <w:szCs w:val="20"/>
        </w:rPr>
      </w:pPr>
    </w:p>
    <w:p w14:paraId="7D5D1A4A" w14:textId="77777777" w:rsidR="00B97B56" w:rsidRPr="00B97B56" w:rsidRDefault="00B97B56" w:rsidP="00B97B56">
      <w:pPr>
        <w:rPr>
          <w:rFonts w:ascii="Times New Roman" w:hAnsi="Times New Roman"/>
          <w:kern w:val="14"/>
          <w:szCs w:val="20"/>
        </w:rPr>
      </w:pPr>
      <w:r w:rsidRPr="00B97B56">
        <w:rPr>
          <w:rFonts w:ascii="Times New Roman" w:hAnsi="Times New Roman"/>
          <w:kern w:val="14"/>
          <w:szCs w:val="20"/>
        </w:rPr>
        <w:t>The authors are grateful for the financial support.</w:t>
      </w:r>
    </w:p>
    <w:p w14:paraId="791E4A20" w14:textId="77777777" w:rsidR="00B97B56" w:rsidRDefault="00B97B56" w:rsidP="00B97B56">
      <w:pPr>
        <w:pStyle w:val="2"/>
        <w:ind w:firstLine="0"/>
      </w:pPr>
    </w:p>
    <w:p w14:paraId="589C6581" w14:textId="77777777" w:rsidR="007D469E" w:rsidRDefault="007D469E">
      <w:pPr>
        <w:pStyle w:val="ReferencesClauseTitle"/>
      </w:pPr>
      <w:r>
        <w:t>References</w:t>
      </w:r>
    </w:p>
    <w:p w14:paraId="43603BA0" w14:textId="78BD8DA8" w:rsidR="00F22B13" w:rsidRPr="00F22B13" w:rsidRDefault="00F22B13" w:rsidP="00F22B13">
      <w:pPr>
        <w:pStyle w:val="2"/>
      </w:pPr>
      <w:r>
        <w:t xml:space="preserve">[1] Q. Yan, H. </w:t>
      </w:r>
      <w:proofErr w:type="spellStart"/>
      <w:r>
        <w:t>Toghiani</w:t>
      </w:r>
      <w:proofErr w:type="spellEnd"/>
      <w:r>
        <w:t>, H. Causey, “Steady state and dynamic performance of proton exchange membrane fuel cells (PEMFCs) under various operating conditions and load changes”</w:t>
      </w:r>
    </w:p>
    <w:p w14:paraId="792AA906" w14:textId="3B7203B0" w:rsidR="007D1A84" w:rsidRDefault="00E50C88" w:rsidP="007D469E">
      <w:pPr>
        <w:pStyle w:val="2"/>
      </w:pPr>
      <w:r>
        <w:t>[</w:t>
      </w:r>
      <w:r w:rsidR="00F22B13">
        <w:t>2</w:t>
      </w:r>
      <w:r>
        <w:t>] D.</w:t>
      </w:r>
      <w:r w:rsidR="0023065A">
        <w:t xml:space="preserve"> </w:t>
      </w:r>
      <w:r>
        <w:t>Filsinger, G.</w:t>
      </w:r>
      <w:r w:rsidR="0023065A">
        <w:t xml:space="preserve"> </w:t>
      </w:r>
      <w:r>
        <w:t>Kuwata, N.</w:t>
      </w:r>
      <w:r w:rsidR="0023065A">
        <w:t xml:space="preserve"> </w:t>
      </w:r>
      <w:r>
        <w:t>Ikeya, “Tailored Centrifugal Turbomachinery for Electric Fuel Cell Turbocharger” 2021</w:t>
      </w:r>
    </w:p>
    <w:p w14:paraId="7B99279A" w14:textId="5FB89E2E" w:rsidR="00E50C88" w:rsidRDefault="00E50C88" w:rsidP="007D469E">
      <w:pPr>
        <w:pStyle w:val="2"/>
      </w:pPr>
      <w:r>
        <w:t>[</w:t>
      </w:r>
      <w:r w:rsidR="00F22B13">
        <w:t>3</w:t>
      </w:r>
      <w:r>
        <w:t>] N</w:t>
      </w:r>
      <w:r w:rsidR="0023065A">
        <w:t>ASA</w:t>
      </w:r>
      <w:r>
        <w:t>, “</w:t>
      </w:r>
      <w:r w:rsidRPr="00A4490B">
        <w:t>World of Change: Global Temperatures</w:t>
      </w:r>
      <w:r>
        <w:t>” 2020</w:t>
      </w:r>
    </w:p>
    <w:p w14:paraId="376E54D7" w14:textId="38D68778" w:rsidR="00F73878" w:rsidRDefault="00F73878" w:rsidP="007D469E">
      <w:pPr>
        <w:pStyle w:val="2"/>
      </w:pPr>
      <w:r>
        <w:t>[</w:t>
      </w:r>
      <w:r w:rsidR="00F22B13">
        <w:t>4</w:t>
      </w:r>
      <w:r>
        <w:t xml:space="preserve">] </w:t>
      </w:r>
      <w:r w:rsidRPr="00F73878">
        <w:t>I</w:t>
      </w:r>
      <w:r w:rsidR="0023065A">
        <w:t xml:space="preserve">. </w:t>
      </w:r>
      <w:r w:rsidRPr="00F73878">
        <w:t>Tiseo</w:t>
      </w:r>
      <w:r>
        <w:t>,</w:t>
      </w:r>
      <w:r w:rsidRPr="00F73878">
        <w:t xml:space="preserve"> </w:t>
      </w:r>
      <w:r>
        <w:t>“</w:t>
      </w:r>
      <w:r w:rsidRPr="00F73878">
        <w:t>Greenhouse gas emissions by aggregated sector</w:t>
      </w:r>
      <w:r>
        <w:t>”</w:t>
      </w:r>
      <w:r w:rsidR="00E50C88">
        <w:t xml:space="preserve"> 2019</w:t>
      </w:r>
      <w:r w:rsidR="0023065A">
        <w:t xml:space="preserve">, retrieved from: </w:t>
      </w:r>
      <w:hyperlink r:id="rId12" w:history="1">
        <w:r w:rsidR="0023065A">
          <w:rPr>
            <w:rStyle w:val="-"/>
          </w:rPr>
          <w:t>Greenhouse gas emissions worldwide - Statistics &amp; Facts | Statista</w:t>
        </w:r>
      </w:hyperlink>
    </w:p>
    <w:p w14:paraId="345CC846" w14:textId="77777777" w:rsidR="002D1A6A" w:rsidRDefault="002D1A6A" w:rsidP="002D1A6A">
      <w:pPr>
        <w:pStyle w:val="2"/>
        <w:ind w:firstLine="0"/>
      </w:pPr>
    </w:p>
    <w:p w14:paraId="49A3F286" w14:textId="77777777" w:rsidR="00B97B56" w:rsidRDefault="00B97B56" w:rsidP="002D1A6A">
      <w:pPr>
        <w:pStyle w:val="2"/>
        <w:ind w:firstLine="0"/>
      </w:pPr>
    </w:p>
    <w:p w14:paraId="272EC737" w14:textId="77777777" w:rsidR="00E50C88" w:rsidRPr="00B97B56" w:rsidRDefault="00E50C88" w:rsidP="007D469E">
      <w:pPr>
        <w:pStyle w:val="2"/>
      </w:pPr>
    </w:p>
    <w:sectPr w:rsidR="00E50C88" w:rsidRPr="00B97B56" w:rsidSect="00EB4FEC">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766E6" w14:textId="77777777" w:rsidR="00EB4FEC" w:rsidRDefault="00EB4FEC">
      <w:r>
        <w:separator/>
      </w:r>
    </w:p>
  </w:endnote>
  <w:endnote w:type="continuationSeparator" w:id="0">
    <w:p w14:paraId="41DA448E" w14:textId="77777777" w:rsidR="00EB4FEC" w:rsidRDefault="00EB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DAEB" w14:textId="070C9567" w:rsidR="007D469E" w:rsidRDefault="007D469E" w:rsidP="00C73411">
    <w:pPr>
      <w:pStyle w:val="a6"/>
      <w:jc w:val="right"/>
    </w:pPr>
    <w:r>
      <w:rPr>
        <w:rStyle w:val="a7"/>
      </w:rPr>
      <w:fldChar w:fldCharType="begin"/>
    </w:r>
    <w:r>
      <w:rPr>
        <w:rStyle w:val="a7"/>
      </w:rPr>
      <w:instrText xml:space="preserve"> PAGE </w:instrText>
    </w:r>
    <w:r>
      <w:rPr>
        <w:rStyle w:val="a7"/>
      </w:rPr>
      <w:fldChar w:fldCharType="separate"/>
    </w:r>
    <w:r w:rsidR="00D13B06">
      <w:rPr>
        <w:rStyle w:val="a7"/>
        <w:noProof/>
      </w:rPr>
      <w:t>1</w:t>
    </w:r>
    <w:r>
      <w:rPr>
        <w:rStyle w:val="a7"/>
      </w:rPr>
      <w:fldChar w:fldCharType="end"/>
    </w:r>
    <w:r>
      <w:rPr>
        <w:rStyle w:val="a7"/>
      </w:rPr>
      <w:tab/>
    </w:r>
    <w:r>
      <w:rPr>
        <w:rStyle w:val="a7"/>
      </w:rPr>
      <w:tab/>
    </w:r>
    <w:proofErr w:type="spellStart"/>
    <w:r w:rsidR="008828C9">
      <w:rPr>
        <w:rStyle w:val="a7"/>
        <w:rFonts w:ascii="Arial" w:hAnsi="Arial" w:cs="Arial"/>
        <w:sz w:val="20"/>
        <w:lang w:val="en-US"/>
      </w:rPr>
      <w:t>Larnaca</w:t>
    </w:r>
    <w:proofErr w:type="spellEnd"/>
    <w:r w:rsidR="00067D57">
      <w:rPr>
        <w:rStyle w:val="a7"/>
        <w:rFonts w:ascii="Arial" w:hAnsi="Arial" w:cs="Arial"/>
        <w:sz w:val="20"/>
        <w:lang w:val="en-US"/>
      </w:rPr>
      <w:t xml:space="preserve">, </w:t>
    </w:r>
    <w:r w:rsidR="008828C9">
      <w:rPr>
        <w:rStyle w:val="a7"/>
        <w:rFonts w:ascii="Arial" w:hAnsi="Arial" w:cs="Arial"/>
        <w:sz w:val="20"/>
        <w:lang w:val="en-US"/>
      </w:rPr>
      <w:t>Cyprus</w:t>
    </w:r>
    <w:r w:rsidR="0027233E">
      <w:rPr>
        <w:rStyle w:val="a7"/>
        <w:rFonts w:ascii="Arial" w:hAnsi="Arial" w:cs="Arial"/>
        <w:sz w:val="20"/>
      </w:rPr>
      <w:tab/>
    </w:r>
    <w:r w:rsidR="0027233E">
      <w:rPr>
        <w:rStyle w:val="a7"/>
        <w:rFonts w:ascii="Arial" w:hAnsi="Arial" w:cs="Arial"/>
        <w:sz w:val="20"/>
      </w:rPr>
      <w:tab/>
    </w:r>
    <w:r w:rsidR="008828C9">
      <w:rPr>
        <w:rStyle w:val="a7"/>
        <w:rFonts w:ascii="Arial" w:hAnsi="Arial" w:cs="Arial"/>
        <w:sz w:val="20"/>
      </w:rPr>
      <w:t>29</w:t>
    </w:r>
    <w:r w:rsidR="00067D57">
      <w:rPr>
        <w:rStyle w:val="a7"/>
        <w:rFonts w:ascii="Arial" w:hAnsi="Arial" w:cs="Arial"/>
        <w:sz w:val="20"/>
      </w:rPr>
      <w:t xml:space="preserve"> – </w:t>
    </w:r>
    <w:r w:rsidR="008828C9">
      <w:rPr>
        <w:rStyle w:val="a7"/>
        <w:rFonts w:ascii="Arial" w:hAnsi="Arial" w:cs="Arial"/>
        <w:sz w:val="20"/>
      </w:rPr>
      <w:t>30</w:t>
    </w:r>
    <w:r w:rsidR="00067D57">
      <w:rPr>
        <w:rStyle w:val="a7"/>
        <w:rFonts w:ascii="Arial" w:hAnsi="Arial" w:cs="Arial"/>
        <w:sz w:val="20"/>
      </w:rPr>
      <w:t xml:space="preserve"> </w:t>
    </w:r>
    <w:r w:rsidR="008828C9">
      <w:rPr>
        <w:rStyle w:val="a7"/>
        <w:rFonts w:ascii="Arial" w:hAnsi="Arial" w:cs="Arial"/>
        <w:sz w:val="20"/>
      </w:rPr>
      <w:t>April</w:t>
    </w:r>
    <w:r>
      <w:rPr>
        <w:rStyle w:val="a7"/>
        <w:rFonts w:ascii="Arial" w:hAnsi="Arial" w:cs="Arial"/>
        <w:sz w:val="20"/>
      </w:rPr>
      <w:t xml:space="preserve"> 20</w:t>
    </w:r>
    <w:r w:rsidR="00067D57">
      <w:rPr>
        <w:rStyle w:val="a7"/>
        <w:rFonts w:ascii="Arial" w:hAnsi="Arial" w:cs="Arial"/>
        <w:sz w:val="20"/>
      </w:rPr>
      <w:t>2</w:t>
    </w:r>
    <w:r w:rsidR="008828C9">
      <w:rPr>
        <w:rStyle w:val="a7"/>
        <w:rFonts w:ascii="Arial" w:hAnsi="Arial" w:cs="Arial"/>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CB9B" w14:textId="57A76E17" w:rsidR="007D469E" w:rsidRDefault="007D469E" w:rsidP="007D1A84">
    <w:pPr>
      <w:pStyle w:val="a6"/>
      <w:jc w:val="right"/>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Pr>
      <w:tab/>
    </w:r>
    <w:r>
      <w:rPr>
        <w:rStyle w:val="a7"/>
      </w:rPr>
      <w:tab/>
    </w:r>
    <w:proofErr w:type="spellStart"/>
    <w:r w:rsidR="00C23347">
      <w:rPr>
        <w:rStyle w:val="a7"/>
        <w:rFonts w:ascii="Arial" w:hAnsi="Arial" w:cs="Arial"/>
        <w:sz w:val="20"/>
        <w:lang w:val="en-US"/>
      </w:rPr>
      <w:t>Larnaca</w:t>
    </w:r>
    <w:proofErr w:type="spellEnd"/>
    <w:r w:rsidR="007D1A84">
      <w:rPr>
        <w:rStyle w:val="a7"/>
        <w:rFonts w:ascii="Arial" w:hAnsi="Arial" w:cs="Arial"/>
        <w:sz w:val="20"/>
        <w:lang w:val="en-US"/>
      </w:rPr>
      <w:t xml:space="preserve">, </w:t>
    </w:r>
    <w:r w:rsidR="00C23347">
      <w:rPr>
        <w:rStyle w:val="a7"/>
        <w:rFonts w:ascii="Arial" w:hAnsi="Arial" w:cs="Arial"/>
        <w:sz w:val="20"/>
        <w:lang w:val="en-US"/>
      </w:rPr>
      <w:t>Cyprus</w:t>
    </w:r>
    <w:r w:rsidR="007D1A84">
      <w:rPr>
        <w:rStyle w:val="a7"/>
        <w:rFonts w:ascii="Arial" w:hAnsi="Arial" w:cs="Arial"/>
        <w:sz w:val="20"/>
      </w:rPr>
      <w:tab/>
    </w:r>
    <w:r w:rsidR="007D1A84">
      <w:rPr>
        <w:rStyle w:val="a7"/>
        <w:rFonts w:ascii="Arial" w:hAnsi="Arial" w:cs="Arial"/>
        <w:sz w:val="20"/>
      </w:rPr>
      <w:tab/>
    </w:r>
    <w:r w:rsidR="00C23347">
      <w:rPr>
        <w:rStyle w:val="a7"/>
        <w:rFonts w:ascii="Arial" w:hAnsi="Arial" w:cs="Arial"/>
        <w:sz w:val="20"/>
      </w:rPr>
      <w:t>29</w:t>
    </w:r>
    <w:r w:rsidR="007D1A84">
      <w:rPr>
        <w:rStyle w:val="a7"/>
        <w:rFonts w:ascii="Arial" w:hAnsi="Arial" w:cs="Arial"/>
        <w:sz w:val="20"/>
      </w:rPr>
      <w:t xml:space="preserve"> – 30 </w:t>
    </w:r>
    <w:r w:rsidR="00C23347">
      <w:rPr>
        <w:rStyle w:val="a7"/>
        <w:rFonts w:ascii="Arial" w:hAnsi="Arial" w:cs="Arial"/>
        <w:sz w:val="20"/>
      </w:rPr>
      <w:t>April</w:t>
    </w:r>
    <w:r w:rsidR="007D1A84">
      <w:rPr>
        <w:rStyle w:val="a7"/>
        <w:rFonts w:ascii="Arial" w:hAnsi="Arial" w:cs="Arial"/>
        <w:sz w:val="20"/>
      </w:rPr>
      <w:t xml:space="preserve"> 202</w:t>
    </w:r>
    <w:r w:rsidR="00C23347">
      <w:rPr>
        <w:rStyle w:val="a7"/>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CE6C" w14:textId="77777777" w:rsidR="00EB4FEC" w:rsidRDefault="00EB4FEC">
      <w:r>
        <w:separator/>
      </w:r>
    </w:p>
  </w:footnote>
  <w:footnote w:type="continuationSeparator" w:id="0">
    <w:p w14:paraId="14CEDE51" w14:textId="77777777" w:rsidR="00EB4FEC" w:rsidRDefault="00EB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B63E" w14:textId="0A85186E" w:rsidR="00D824BE" w:rsidRDefault="00D824BE" w:rsidP="007D469E">
    <w:pPr>
      <w:pStyle w:val="a5"/>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a5"/>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50C38" w14:textId="60D21D70" w:rsidR="007D1A84" w:rsidRDefault="007D1A84" w:rsidP="007D1A84">
    <w:pPr>
      <w:pStyle w:val="a5"/>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a5"/>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22036"/>
    <w:rsid w:val="00040C05"/>
    <w:rsid w:val="00053D37"/>
    <w:rsid w:val="00067D57"/>
    <w:rsid w:val="00085E31"/>
    <w:rsid w:val="000F1759"/>
    <w:rsid w:val="001327BE"/>
    <w:rsid w:val="00137880"/>
    <w:rsid w:val="00161975"/>
    <w:rsid w:val="001D1D86"/>
    <w:rsid w:val="001E7524"/>
    <w:rsid w:val="001F185E"/>
    <w:rsid w:val="0023065A"/>
    <w:rsid w:val="0027233E"/>
    <w:rsid w:val="002D1A6A"/>
    <w:rsid w:val="00321EA0"/>
    <w:rsid w:val="00330BF8"/>
    <w:rsid w:val="00333646"/>
    <w:rsid w:val="00363232"/>
    <w:rsid w:val="003A2321"/>
    <w:rsid w:val="003D5D56"/>
    <w:rsid w:val="00404301"/>
    <w:rsid w:val="0044612C"/>
    <w:rsid w:val="00447DAA"/>
    <w:rsid w:val="004559C5"/>
    <w:rsid w:val="00497DA2"/>
    <w:rsid w:val="004E0785"/>
    <w:rsid w:val="00504078"/>
    <w:rsid w:val="00562188"/>
    <w:rsid w:val="00570BA1"/>
    <w:rsid w:val="005D6FC4"/>
    <w:rsid w:val="005F4B14"/>
    <w:rsid w:val="006100CE"/>
    <w:rsid w:val="00617789"/>
    <w:rsid w:val="006211FC"/>
    <w:rsid w:val="00635772"/>
    <w:rsid w:val="00643F8F"/>
    <w:rsid w:val="00656DBD"/>
    <w:rsid w:val="0068424B"/>
    <w:rsid w:val="006D212A"/>
    <w:rsid w:val="00791559"/>
    <w:rsid w:val="007A6153"/>
    <w:rsid w:val="007D1A84"/>
    <w:rsid w:val="007D469E"/>
    <w:rsid w:val="00805E6C"/>
    <w:rsid w:val="00830F9A"/>
    <w:rsid w:val="00861B28"/>
    <w:rsid w:val="008631BF"/>
    <w:rsid w:val="008828C9"/>
    <w:rsid w:val="008C3355"/>
    <w:rsid w:val="008D76C5"/>
    <w:rsid w:val="008F5DA3"/>
    <w:rsid w:val="00903B53"/>
    <w:rsid w:val="00930D6E"/>
    <w:rsid w:val="00931635"/>
    <w:rsid w:val="009F585A"/>
    <w:rsid w:val="00A013E9"/>
    <w:rsid w:val="00A313C0"/>
    <w:rsid w:val="00A33E7F"/>
    <w:rsid w:val="00A4490B"/>
    <w:rsid w:val="00A55577"/>
    <w:rsid w:val="00A93ECF"/>
    <w:rsid w:val="00B41D1C"/>
    <w:rsid w:val="00B46E75"/>
    <w:rsid w:val="00B47D74"/>
    <w:rsid w:val="00B66268"/>
    <w:rsid w:val="00B962DF"/>
    <w:rsid w:val="00B97B56"/>
    <w:rsid w:val="00BE520E"/>
    <w:rsid w:val="00BF32E0"/>
    <w:rsid w:val="00C01744"/>
    <w:rsid w:val="00C07E41"/>
    <w:rsid w:val="00C23347"/>
    <w:rsid w:val="00C55A25"/>
    <w:rsid w:val="00C73411"/>
    <w:rsid w:val="00C803AA"/>
    <w:rsid w:val="00C866F0"/>
    <w:rsid w:val="00CF348E"/>
    <w:rsid w:val="00D13B06"/>
    <w:rsid w:val="00D47000"/>
    <w:rsid w:val="00D5035F"/>
    <w:rsid w:val="00D66CB4"/>
    <w:rsid w:val="00D824BE"/>
    <w:rsid w:val="00D941F1"/>
    <w:rsid w:val="00DA0AED"/>
    <w:rsid w:val="00DD22E9"/>
    <w:rsid w:val="00E50C88"/>
    <w:rsid w:val="00EB4FEC"/>
    <w:rsid w:val="00F1616E"/>
    <w:rsid w:val="00F22B13"/>
    <w:rsid w:val="00F73878"/>
    <w:rsid w:val="00F852C2"/>
    <w:rsid w:val="00FA02A5"/>
    <w:rsid w:val="00FA0597"/>
    <w:rsid w:val="00FB4F77"/>
    <w:rsid w:val="00FD31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Table of Tables"/>
    <w:basedOn w:val="a"/>
    <w:next w:val="a"/>
    <w:semiHidden/>
    <w:pPr>
      <w:ind w:left="480" w:hanging="480"/>
      <w:jc w:val="both"/>
    </w:pPr>
    <w:rPr>
      <w:sz w:val="24"/>
      <w:szCs w:val="20"/>
      <w:lang w:val="en-GB"/>
    </w:rPr>
  </w:style>
  <w:style w:type="paragraph" w:customStyle="1" w:styleId="AbstractClauseTitle">
    <w:name w:val="Abstract Clause Title"/>
    <w:basedOn w:val="a"/>
    <w:next w:val="2"/>
    <w:pPr>
      <w:keepNext/>
      <w:suppressAutoHyphens/>
      <w:overflowPunct w:val="0"/>
      <w:autoSpaceDE w:val="0"/>
      <w:autoSpaceDN w:val="0"/>
      <w:adjustRightInd w:val="0"/>
      <w:jc w:val="both"/>
      <w:textAlignment w:val="baseline"/>
    </w:pPr>
    <w:rPr>
      <w:b/>
      <w:caps/>
      <w:kern w:val="14"/>
      <w:szCs w:val="20"/>
    </w:rPr>
  </w:style>
  <w:style w:type="paragraph" w:styleId="2">
    <w:name w:val="Body Text 2"/>
    <w:basedOn w:val="a"/>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a"/>
    <w:pPr>
      <w:suppressAutoHyphens/>
      <w:overflowPunct w:val="0"/>
      <w:autoSpaceDE w:val="0"/>
      <w:autoSpaceDN w:val="0"/>
      <w:adjustRightInd w:val="0"/>
      <w:jc w:val="center"/>
      <w:textAlignment w:val="baseline"/>
    </w:pPr>
    <w:rPr>
      <w:kern w:val="14"/>
      <w:szCs w:val="20"/>
    </w:rPr>
  </w:style>
  <w:style w:type="paragraph" w:styleId="a4">
    <w:name w:val="Title"/>
    <w:basedOn w:val="a"/>
    <w:qFormat/>
    <w:pPr>
      <w:suppressAutoHyphens/>
      <w:overflowPunct w:val="0"/>
      <w:autoSpaceDE w:val="0"/>
      <w:autoSpaceDN w:val="0"/>
      <w:adjustRightInd w:val="0"/>
      <w:spacing w:before="760"/>
      <w:jc w:val="center"/>
      <w:textAlignment w:val="baseline"/>
    </w:pPr>
    <w:rPr>
      <w:b/>
      <w:caps/>
      <w:kern w:val="14"/>
      <w:sz w:val="24"/>
      <w:szCs w:val="20"/>
    </w:rPr>
  </w:style>
  <w:style w:type="paragraph" w:styleId="a5">
    <w:name w:val="header"/>
    <w:basedOn w:val="a"/>
    <w:link w:val="Char"/>
    <w:pPr>
      <w:tabs>
        <w:tab w:val="center" w:pos="4320"/>
        <w:tab w:val="right" w:pos="8640"/>
      </w:tabs>
    </w:pPr>
    <w:rPr>
      <w:rFonts w:ascii="Times New Roman" w:hAnsi="Times New Roman"/>
      <w:sz w:val="24"/>
      <w:lang w:val="en-GB"/>
    </w:rPr>
  </w:style>
  <w:style w:type="paragraph" w:styleId="a6">
    <w:name w:val="footer"/>
    <w:basedOn w:val="a"/>
    <w:link w:val="Char0"/>
    <w:pPr>
      <w:tabs>
        <w:tab w:val="center" w:pos="4320"/>
        <w:tab w:val="right" w:pos="8640"/>
      </w:tabs>
    </w:pPr>
    <w:rPr>
      <w:rFonts w:ascii="Times New Roman" w:hAnsi="Times New Roman"/>
      <w:sz w:val="24"/>
      <w:lang w:val="en-GB"/>
    </w:rPr>
  </w:style>
  <w:style w:type="character" w:styleId="a7">
    <w:name w:val="page number"/>
    <w:basedOn w:val="a0"/>
  </w:style>
  <w:style w:type="table" w:styleId="a8">
    <w:name w:val="Table Grid"/>
    <w:basedOn w:val="a1"/>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φαλίδα Char"/>
    <w:basedOn w:val="a0"/>
    <w:link w:val="a5"/>
    <w:rsid w:val="007D1A84"/>
    <w:rPr>
      <w:sz w:val="24"/>
      <w:szCs w:val="24"/>
      <w:lang w:val="en-GB"/>
    </w:rPr>
  </w:style>
  <w:style w:type="character" w:customStyle="1" w:styleId="Char0">
    <w:name w:val="Υποσέλιδο Char"/>
    <w:basedOn w:val="a0"/>
    <w:link w:val="a6"/>
    <w:rsid w:val="007D1A84"/>
    <w:rPr>
      <w:sz w:val="24"/>
      <w:szCs w:val="24"/>
      <w:lang w:val="en-GB"/>
    </w:rPr>
  </w:style>
  <w:style w:type="character" w:customStyle="1" w:styleId="ui-provider">
    <w:name w:val="ui-provider"/>
    <w:basedOn w:val="a0"/>
    <w:rsid w:val="00B46E75"/>
  </w:style>
  <w:style w:type="paragraph" w:customStyle="1" w:styleId="paragraph">
    <w:name w:val="paragraph"/>
    <w:basedOn w:val="a"/>
    <w:rsid w:val="006100CE"/>
    <w:pPr>
      <w:spacing w:before="100" w:beforeAutospacing="1" w:after="100" w:afterAutospacing="1"/>
    </w:pPr>
    <w:rPr>
      <w:rFonts w:ascii="Times New Roman" w:hAnsi="Times New Roman"/>
      <w:sz w:val="24"/>
      <w:lang w:val="el-GR" w:eastAsia="ja-JP"/>
    </w:rPr>
  </w:style>
  <w:style w:type="character" w:customStyle="1" w:styleId="normaltextrun">
    <w:name w:val="normaltextrun"/>
    <w:basedOn w:val="a0"/>
    <w:rsid w:val="006100CE"/>
  </w:style>
  <w:style w:type="character" w:customStyle="1" w:styleId="eop">
    <w:name w:val="eop"/>
    <w:basedOn w:val="a0"/>
    <w:rsid w:val="006100CE"/>
  </w:style>
  <w:style w:type="paragraph" w:styleId="a9">
    <w:name w:val="Revision"/>
    <w:hidden/>
    <w:uiPriority w:val="99"/>
    <w:semiHidden/>
    <w:rsid w:val="00FB4F77"/>
    <w:rPr>
      <w:rFonts w:ascii="Arial" w:hAnsi="Arial"/>
      <w:szCs w:val="24"/>
    </w:rPr>
  </w:style>
  <w:style w:type="character" w:styleId="aa">
    <w:name w:val="annotation reference"/>
    <w:basedOn w:val="a0"/>
    <w:uiPriority w:val="99"/>
    <w:semiHidden/>
    <w:unhideWhenUsed/>
    <w:rsid w:val="00830F9A"/>
    <w:rPr>
      <w:sz w:val="16"/>
      <w:szCs w:val="16"/>
    </w:rPr>
  </w:style>
  <w:style w:type="paragraph" w:styleId="ab">
    <w:name w:val="annotation text"/>
    <w:basedOn w:val="a"/>
    <w:link w:val="Char1"/>
    <w:uiPriority w:val="99"/>
    <w:unhideWhenUsed/>
    <w:rsid w:val="00830F9A"/>
    <w:rPr>
      <w:szCs w:val="20"/>
    </w:rPr>
  </w:style>
  <w:style w:type="character" w:customStyle="1" w:styleId="Char1">
    <w:name w:val="Κείμενο σχολίου Char"/>
    <w:basedOn w:val="a0"/>
    <w:link w:val="ab"/>
    <w:uiPriority w:val="99"/>
    <w:rsid w:val="00830F9A"/>
    <w:rPr>
      <w:rFonts w:ascii="Arial" w:hAnsi="Arial"/>
    </w:rPr>
  </w:style>
  <w:style w:type="paragraph" w:styleId="ac">
    <w:name w:val="annotation subject"/>
    <w:basedOn w:val="ab"/>
    <w:next w:val="ab"/>
    <w:link w:val="Char2"/>
    <w:uiPriority w:val="99"/>
    <w:semiHidden/>
    <w:unhideWhenUsed/>
    <w:rsid w:val="00830F9A"/>
    <w:rPr>
      <w:b/>
      <w:bCs/>
    </w:rPr>
  </w:style>
  <w:style w:type="character" w:customStyle="1" w:styleId="Char2">
    <w:name w:val="Θέμα σχολίου Char"/>
    <w:basedOn w:val="Char1"/>
    <w:link w:val="ac"/>
    <w:uiPriority w:val="99"/>
    <w:semiHidden/>
    <w:rsid w:val="00830F9A"/>
    <w:rPr>
      <w:rFonts w:ascii="Arial" w:hAnsi="Arial"/>
      <w:b/>
      <w:bCs/>
    </w:rPr>
  </w:style>
  <w:style w:type="paragraph" w:styleId="Web">
    <w:name w:val="Normal (Web)"/>
    <w:basedOn w:val="a"/>
    <w:uiPriority w:val="99"/>
    <w:semiHidden/>
    <w:unhideWhenUsed/>
    <w:rsid w:val="00B97B56"/>
    <w:pPr>
      <w:spacing w:before="100" w:beforeAutospacing="1" w:after="100" w:afterAutospacing="1"/>
    </w:pPr>
    <w:rPr>
      <w:rFonts w:ascii="Times New Roman" w:hAnsi="Times New Roman"/>
      <w:sz w:val="24"/>
      <w:lang w:val="de-DE" w:eastAsia="ja-JP"/>
    </w:rPr>
  </w:style>
  <w:style w:type="character" w:styleId="-">
    <w:name w:val="Hyperlink"/>
    <w:basedOn w:val="a0"/>
    <w:uiPriority w:val="99"/>
    <w:semiHidden/>
    <w:unhideWhenUsed/>
    <w:rsid w:val="00230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8178">
      <w:bodyDiv w:val="1"/>
      <w:marLeft w:val="0"/>
      <w:marRight w:val="0"/>
      <w:marTop w:val="0"/>
      <w:marBottom w:val="0"/>
      <w:divBdr>
        <w:top w:val="none" w:sz="0" w:space="0" w:color="auto"/>
        <w:left w:val="none" w:sz="0" w:space="0" w:color="auto"/>
        <w:bottom w:val="none" w:sz="0" w:space="0" w:color="auto"/>
        <w:right w:val="none" w:sz="0" w:space="0" w:color="auto"/>
      </w:divBdr>
    </w:div>
    <w:div w:id="1127897523">
      <w:bodyDiv w:val="1"/>
      <w:marLeft w:val="0"/>
      <w:marRight w:val="0"/>
      <w:marTop w:val="0"/>
      <w:marBottom w:val="0"/>
      <w:divBdr>
        <w:top w:val="none" w:sz="0" w:space="0" w:color="auto"/>
        <w:left w:val="none" w:sz="0" w:space="0" w:color="auto"/>
        <w:bottom w:val="none" w:sz="0" w:space="0" w:color="auto"/>
        <w:right w:val="none" w:sz="0" w:space="0" w:color="auto"/>
      </w:divBdr>
    </w:div>
    <w:div w:id="1146120861">
      <w:bodyDiv w:val="1"/>
      <w:marLeft w:val="0"/>
      <w:marRight w:val="0"/>
      <w:marTop w:val="0"/>
      <w:marBottom w:val="0"/>
      <w:divBdr>
        <w:top w:val="none" w:sz="0" w:space="0" w:color="auto"/>
        <w:left w:val="none" w:sz="0" w:space="0" w:color="auto"/>
        <w:bottom w:val="none" w:sz="0" w:space="0" w:color="auto"/>
        <w:right w:val="none" w:sz="0" w:space="0" w:color="auto"/>
      </w:divBdr>
      <w:divsChild>
        <w:div w:id="762648035">
          <w:marLeft w:val="0"/>
          <w:marRight w:val="0"/>
          <w:marTop w:val="0"/>
          <w:marBottom w:val="0"/>
          <w:divBdr>
            <w:top w:val="none" w:sz="0" w:space="0" w:color="auto"/>
            <w:left w:val="none" w:sz="0" w:space="0" w:color="auto"/>
            <w:bottom w:val="none" w:sz="0" w:space="0" w:color="auto"/>
            <w:right w:val="none" w:sz="0" w:space="0" w:color="auto"/>
          </w:divBdr>
        </w:div>
        <w:div w:id="1125193695">
          <w:marLeft w:val="0"/>
          <w:marRight w:val="0"/>
          <w:marTop w:val="0"/>
          <w:marBottom w:val="0"/>
          <w:divBdr>
            <w:top w:val="none" w:sz="0" w:space="0" w:color="auto"/>
            <w:left w:val="none" w:sz="0" w:space="0" w:color="auto"/>
            <w:bottom w:val="none" w:sz="0" w:space="0" w:color="auto"/>
            <w:right w:val="none" w:sz="0" w:space="0" w:color="auto"/>
          </w:divBdr>
        </w:div>
        <w:div w:id="1151673620">
          <w:marLeft w:val="0"/>
          <w:marRight w:val="0"/>
          <w:marTop w:val="0"/>
          <w:marBottom w:val="0"/>
          <w:divBdr>
            <w:top w:val="none" w:sz="0" w:space="0" w:color="auto"/>
            <w:left w:val="none" w:sz="0" w:space="0" w:color="auto"/>
            <w:bottom w:val="none" w:sz="0" w:space="0" w:color="auto"/>
            <w:right w:val="none" w:sz="0" w:space="0" w:color="auto"/>
          </w:divBdr>
        </w:div>
        <w:div w:id="2073574890">
          <w:marLeft w:val="0"/>
          <w:marRight w:val="0"/>
          <w:marTop w:val="0"/>
          <w:marBottom w:val="0"/>
          <w:divBdr>
            <w:top w:val="none" w:sz="0" w:space="0" w:color="auto"/>
            <w:left w:val="none" w:sz="0" w:space="0" w:color="auto"/>
            <w:bottom w:val="none" w:sz="0" w:space="0" w:color="auto"/>
            <w:right w:val="none" w:sz="0" w:space="0" w:color="auto"/>
          </w:divBdr>
        </w:div>
        <w:div w:id="1498038612">
          <w:marLeft w:val="0"/>
          <w:marRight w:val="0"/>
          <w:marTop w:val="0"/>
          <w:marBottom w:val="0"/>
          <w:divBdr>
            <w:top w:val="none" w:sz="0" w:space="0" w:color="auto"/>
            <w:left w:val="none" w:sz="0" w:space="0" w:color="auto"/>
            <w:bottom w:val="none" w:sz="0" w:space="0" w:color="auto"/>
            <w:right w:val="none" w:sz="0" w:space="0" w:color="auto"/>
          </w:divBdr>
        </w:div>
      </w:divsChild>
    </w:div>
    <w:div w:id="1701396972">
      <w:bodyDiv w:val="1"/>
      <w:marLeft w:val="0"/>
      <w:marRight w:val="0"/>
      <w:marTop w:val="0"/>
      <w:marBottom w:val="0"/>
      <w:divBdr>
        <w:top w:val="none" w:sz="0" w:space="0" w:color="auto"/>
        <w:left w:val="none" w:sz="0" w:space="0" w:color="auto"/>
        <w:bottom w:val="none" w:sz="0" w:space="0" w:color="auto"/>
        <w:right w:val="none" w:sz="0" w:space="0" w:color="auto"/>
      </w:divBdr>
    </w:div>
    <w:div w:id="19500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tatista.com/topics/5770/global-greenhouse-gas-emiss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0E60-90AE-48EB-9A5C-347F794B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4696</Characters>
  <Application>Microsoft Office Word</Application>
  <DocSecurity>0</DocSecurity>
  <Lines>39</Lines>
  <Paragraphs>11</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Maria Giouvanoglou</cp:lastModifiedBy>
  <cp:revision>2</cp:revision>
  <dcterms:created xsi:type="dcterms:W3CDTF">2024-04-25T09:21:00Z</dcterms:created>
  <dcterms:modified xsi:type="dcterms:W3CDTF">2024-04-25T09:21:00Z</dcterms:modified>
</cp:coreProperties>
</file>