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C5F8A" w14:textId="7918EF40" w:rsidR="007D469E" w:rsidRPr="00452749" w:rsidRDefault="00366C77">
      <w:pPr>
        <w:rPr>
          <w:lang w:val="en-GB"/>
        </w:rPr>
      </w:pPr>
      <w:r w:rsidRPr="00452749">
        <w:rPr>
          <w:b/>
          <w:caps/>
          <w:kern w:val="14"/>
          <w:sz w:val="24"/>
          <w:szCs w:val="20"/>
          <w:lang w:val="en-GB"/>
        </w:rPr>
        <w:t>Design of a High-Temperature Regenerated Brayton Heat Pump Test Rig</w:t>
      </w:r>
    </w:p>
    <w:p w14:paraId="73B9E162" w14:textId="77777777" w:rsidR="007D469E" w:rsidRPr="00452749" w:rsidRDefault="007D469E">
      <w:pPr>
        <w:rPr>
          <w:lang w:val="en-GB"/>
        </w:rPr>
      </w:pPr>
    </w:p>
    <w:tbl>
      <w:tblPr>
        <w:tblW w:w="0" w:type="auto"/>
        <w:tblLook w:val="0000" w:firstRow="0" w:lastRow="0" w:firstColumn="0" w:lastColumn="0" w:noHBand="0" w:noVBand="0"/>
      </w:tblPr>
      <w:tblGrid>
        <w:gridCol w:w="2113"/>
        <w:gridCol w:w="2622"/>
        <w:gridCol w:w="2415"/>
        <w:gridCol w:w="1879"/>
      </w:tblGrid>
      <w:tr w:rsidR="00A71DDA" w:rsidRPr="00452749" w14:paraId="5C7E3CA7" w14:textId="77777777" w:rsidTr="007517A4">
        <w:tc>
          <w:tcPr>
            <w:tcW w:w="0" w:type="auto"/>
          </w:tcPr>
          <w:p w14:paraId="07206E23" w14:textId="23B04939" w:rsidR="00A71DDA" w:rsidRPr="00452749" w:rsidRDefault="00A71DDA">
            <w:pPr>
              <w:pStyle w:val="Affiliation"/>
              <w:rPr>
                <w:lang w:val="en-GB"/>
              </w:rPr>
            </w:pPr>
            <w:r>
              <w:rPr>
                <w:lang w:val="en-GB"/>
              </w:rPr>
              <w:t>Matteo Benvenuti</w:t>
            </w:r>
            <w:r w:rsidR="00F2374F" w:rsidRPr="00F2374F">
              <w:rPr>
                <w:vertAlign w:val="superscript"/>
                <w:lang w:val="en-GB"/>
              </w:rPr>
              <w:t>1</w:t>
            </w:r>
          </w:p>
        </w:tc>
        <w:tc>
          <w:tcPr>
            <w:tcW w:w="0" w:type="auto"/>
          </w:tcPr>
          <w:p w14:paraId="0DB1B674" w14:textId="37830738" w:rsidR="00A71DDA" w:rsidRPr="00452749" w:rsidRDefault="00A71DDA">
            <w:pPr>
              <w:pStyle w:val="Affiliation"/>
              <w:rPr>
                <w:lang w:val="en-GB"/>
              </w:rPr>
            </w:pPr>
            <w:r>
              <w:rPr>
                <w:lang w:val="en-GB"/>
              </w:rPr>
              <w:t>Guido Francesco Frate</w:t>
            </w:r>
            <w:r w:rsidR="00F2374F" w:rsidRPr="00F2374F">
              <w:rPr>
                <w:vertAlign w:val="superscript"/>
                <w:lang w:val="en-GB"/>
              </w:rPr>
              <w:t>1</w:t>
            </w:r>
          </w:p>
        </w:tc>
        <w:tc>
          <w:tcPr>
            <w:tcW w:w="0" w:type="auto"/>
          </w:tcPr>
          <w:p w14:paraId="0F2B986D" w14:textId="38B8D120" w:rsidR="00A71DDA" w:rsidRDefault="00903E55">
            <w:pPr>
              <w:pStyle w:val="Affiliation"/>
              <w:rPr>
                <w:lang w:val="en-GB"/>
              </w:rPr>
            </w:pPr>
            <w:r w:rsidRPr="00903E55">
              <w:rPr>
                <w:lang w:val="en-GB"/>
              </w:rPr>
              <w:t>Paolo Taddei Pardelli</w:t>
            </w:r>
            <w:r w:rsidR="00F2374F" w:rsidRPr="00F2374F">
              <w:rPr>
                <w:vertAlign w:val="superscript"/>
                <w:lang w:val="en-GB"/>
              </w:rPr>
              <w:t>2</w:t>
            </w:r>
          </w:p>
        </w:tc>
        <w:tc>
          <w:tcPr>
            <w:tcW w:w="0" w:type="auto"/>
          </w:tcPr>
          <w:p w14:paraId="38D4F315" w14:textId="29AC97D0" w:rsidR="00A71DDA" w:rsidRPr="00452749" w:rsidRDefault="00A71DDA">
            <w:pPr>
              <w:pStyle w:val="Affiliation"/>
              <w:rPr>
                <w:lang w:val="en-GB"/>
              </w:rPr>
            </w:pPr>
            <w:r>
              <w:rPr>
                <w:lang w:val="en-GB"/>
              </w:rPr>
              <w:t>Lorenzo Ferrari</w:t>
            </w:r>
            <w:r w:rsidR="007517A4" w:rsidRPr="007517A4">
              <w:rPr>
                <w:vertAlign w:val="superscript"/>
                <w:lang w:val="en-GB"/>
              </w:rPr>
              <w:t>1</w:t>
            </w:r>
          </w:p>
        </w:tc>
      </w:tr>
      <w:tr w:rsidR="00A71DDA" w:rsidRPr="00452749" w14:paraId="60F586E8" w14:textId="77777777" w:rsidTr="007517A4">
        <w:tc>
          <w:tcPr>
            <w:tcW w:w="0" w:type="auto"/>
            <w:gridSpan w:val="4"/>
          </w:tcPr>
          <w:p w14:paraId="6A1857E5" w14:textId="77777777" w:rsidR="00A71DDA" w:rsidRDefault="007517A4" w:rsidP="00065A33">
            <w:pPr>
              <w:pStyle w:val="Affiliation"/>
              <w:spacing w:before="120"/>
              <w:rPr>
                <w:lang w:val="en-GB"/>
              </w:rPr>
            </w:pPr>
            <w:r w:rsidRPr="007517A4">
              <w:rPr>
                <w:vertAlign w:val="superscript"/>
                <w:lang w:val="en-GB"/>
              </w:rPr>
              <w:t>1</w:t>
            </w:r>
            <w:r w:rsidR="00A71DDA">
              <w:rPr>
                <w:lang w:val="en-GB"/>
              </w:rPr>
              <w:t>Department of Energy, Systems, Territory and Constructions Engineering (DESTEC), University of Pisa, Italy</w:t>
            </w:r>
          </w:p>
          <w:p w14:paraId="51DB310C" w14:textId="53A1B457" w:rsidR="001904DF" w:rsidRPr="00452749" w:rsidDel="005639C3" w:rsidRDefault="00472956" w:rsidP="00065A33">
            <w:pPr>
              <w:pStyle w:val="Affiliation"/>
              <w:spacing w:before="120"/>
              <w:rPr>
                <w:lang w:val="en-GB"/>
              </w:rPr>
            </w:pPr>
            <w:r w:rsidRPr="00472956">
              <w:rPr>
                <w:vertAlign w:val="superscript"/>
                <w:lang w:val="en-GB"/>
              </w:rPr>
              <w:t>2</w:t>
            </w:r>
            <w:r w:rsidRPr="00472956">
              <w:rPr>
                <w:lang w:val="en-GB"/>
              </w:rPr>
              <w:t>Spike Renewables Srl</w:t>
            </w:r>
            <w:r w:rsidR="00CB549F">
              <w:rPr>
                <w:lang w:val="en-GB"/>
              </w:rPr>
              <w:t>, Florence, Italy</w:t>
            </w:r>
          </w:p>
        </w:tc>
      </w:tr>
    </w:tbl>
    <w:p w14:paraId="71E9C335" w14:textId="77777777" w:rsidR="007D469E" w:rsidRPr="00452749" w:rsidRDefault="007D469E">
      <w:pPr>
        <w:pStyle w:val="AbstractClauseTitle"/>
        <w:rPr>
          <w:lang w:val="en-GB"/>
        </w:rPr>
        <w:sectPr w:rsidR="007D469E" w:rsidRPr="00452749" w:rsidSect="00DE40B0">
          <w:headerReference w:type="default" r:id="rId8"/>
          <w:footerReference w:type="default" r:id="rId9"/>
          <w:pgSz w:w="11909" w:h="16834" w:code="9"/>
          <w:pgMar w:top="1440" w:right="1440" w:bottom="1440" w:left="1440" w:header="720" w:footer="720" w:gutter="0"/>
          <w:cols w:space="720"/>
          <w:docGrid w:linePitch="360"/>
        </w:sectPr>
      </w:pPr>
    </w:p>
    <w:p w14:paraId="0EFE4DE5" w14:textId="77777777" w:rsidR="007D469E" w:rsidRPr="00452749" w:rsidRDefault="007D469E">
      <w:pPr>
        <w:pStyle w:val="AbstractClauseTitle"/>
        <w:rPr>
          <w:lang w:val="en-GB"/>
        </w:rPr>
      </w:pPr>
    </w:p>
    <w:p w14:paraId="4CFEF773" w14:textId="77777777" w:rsidR="007D469E" w:rsidRPr="00452749" w:rsidRDefault="007D469E">
      <w:pPr>
        <w:pStyle w:val="AbstractClauseTitle"/>
        <w:rPr>
          <w:lang w:val="en-GB"/>
        </w:rPr>
        <w:sectPr w:rsidR="007D469E" w:rsidRPr="00452749" w:rsidSect="00DE40B0">
          <w:headerReference w:type="default" r:id="rId10"/>
          <w:footerReference w:type="default" r:id="rId11"/>
          <w:type w:val="continuous"/>
          <w:pgSz w:w="11909" w:h="16834" w:code="9"/>
          <w:pgMar w:top="1440" w:right="1440" w:bottom="1440" w:left="1440" w:header="720" w:footer="720" w:gutter="0"/>
          <w:cols w:num="2" w:space="720" w:equalWidth="0">
            <w:col w:w="4154" w:space="720"/>
            <w:col w:w="4154"/>
          </w:cols>
          <w:docGrid w:linePitch="360"/>
        </w:sectPr>
      </w:pPr>
    </w:p>
    <w:p w14:paraId="6411A235" w14:textId="77777777" w:rsidR="007D469E" w:rsidRPr="00452749" w:rsidRDefault="007D469E" w:rsidP="007E72D5">
      <w:pPr>
        <w:pStyle w:val="AbstractClauseTitle"/>
        <w:rPr>
          <w:lang w:val="en-GB"/>
        </w:rPr>
      </w:pPr>
      <w:r w:rsidRPr="00452749">
        <w:rPr>
          <w:lang w:val="en-GB"/>
        </w:rPr>
        <w:t>Abstract</w:t>
      </w:r>
    </w:p>
    <w:p w14:paraId="0151206C" w14:textId="552F26B0" w:rsidR="007D469E" w:rsidRDefault="00FB7074">
      <w:pPr>
        <w:pStyle w:val="Corpodeltesto2"/>
        <w:rPr>
          <w:lang w:val="en-GB"/>
        </w:rPr>
      </w:pPr>
      <w:r w:rsidRPr="00452749">
        <w:rPr>
          <w:lang w:val="en-GB"/>
        </w:rPr>
        <w:t>This paper aims to dimension a test rig of a high-temperature regenerated Brayton heat pump, which provides heat at more than 130°C, using small</w:t>
      </w:r>
      <w:r w:rsidR="005C3514">
        <w:rPr>
          <w:lang w:val="en-GB"/>
        </w:rPr>
        <w:t>-</w:t>
      </w:r>
      <w:r w:rsidRPr="00452749">
        <w:rPr>
          <w:lang w:val="en-GB"/>
        </w:rPr>
        <w:t>size</w:t>
      </w:r>
      <w:r w:rsidR="00CB549F">
        <w:rPr>
          <w:lang w:val="en-GB"/>
        </w:rPr>
        <w:t>d</w:t>
      </w:r>
      <w:r w:rsidRPr="00452749">
        <w:rPr>
          <w:lang w:val="en-GB"/>
        </w:rPr>
        <w:t xml:space="preserve"> and off-the-shelf components.</w:t>
      </w:r>
      <w:r w:rsidR="007A25D4">
        <w:rPr>
          <w:lang w:val="en-GB"/>
        </w:rPr>
        <w:t xml:space="preserve"> </w:t>
      </w:r>
      <w:r w:rsidR="0064152E" w:rsidRPr="00022D8C">
        <w:rPr>
          <w:lang w:val="en-GB"/>
        </w:rPr>
        <w:t>T</w:t>
      </w:r>
      <w:r w:rsidR="00354AA6" w:rsidRPr="00022D8C">
        <w:rPr>
          <w:lang w:val="en-GB"/>
        </w:rPr>
        <w:t xml:space="preserve">his facility will enable the testing of </w:t>
      </w:r>
      <w:r w:rsidR="00361FE0">
        <w:rPr>
          <w:lang w:val="en-GB"/>
        </w:rPr>
        <w:t xml:space="preserve">a </w:t>
      </w:r>
      <w:r w:rsidR="00354AA6" w:rsidRPr="00022D8C">
        <w:rPr>
          <w:lang w:val="en-GB"/>
        </w:rPr>
        <w:t>Brayton heat pump</w:t>
      </w:r>
      <w:r w:rsidR="009F09A6">
        <w:rPr>
          <w:lang w:val="en-GB"/>
        </w:rPr>
        <w:t xml:space="preserve"> system and </w:t>
      </w:r>
      <w:r w:rsidR="00361FE0">
        <w:rPr>
          <w:lang w:val="en-GB"/>
        </w:rPr>
        <w:t xml:space="preserve">its </w:t>
      </w:r>
      <w:r w:rsidR="009F09A6">
        <w:rPr>
          <w:lang w:val="en-GB"/>
        </w:rPr>
        <w:t>components</w:t>
      </w:r>
      <w:r w:rsidR="002E41E3">
        <w:rPr>
          <w:lang w:val="en-GB"/>
        </w:rPr>
        <w:t>,</w:t>
      </w:r>
      <w:r w:rsidR="00022D8C">
        <w:rPr>
          <w:lang w:val="en-GB"/>
        </w:rPr>
        <w:t xml:space="preserve"> </w:t>
      </w:r>
      <w:r w:rsidR="009F09A6">
        <w:rPr>
          <w:lang w:val="en-GB"/>
        </w:rPr>
        <w:t xml:space="preserve">with the final goal of </w:t>
      </w:r>
      <w:r w:rsidR="00361FE0">
        <w:rPr>
          <w:lang w:val="en-GB"/>
        </w:rPr>
        <w:t xml:space="preserve">validating </w:t>
      </w:r>
      <w:r w:rsidR="00361FE0" w:rsidRPr="00022D8C">
        <w:rPr>
          <w:lang w:val="en-GB"/>
        </w:rPr>
        <w:t xml:space="preserve">several </w:t>
      </w:r>
      <w:r w:rsidR="00061405">
        <w:rPr>
          <w:lang w:val="en-GB"/>
        </w:rPr>
        <w:t xml:space="preserve">related </w:t>
      </w:r>
      <w:r w:rsidR="00361FE0" w:rsidRPr="00022D8C">
        <w:rPr>
          <w:lang w:val="en-GB"/>
        </w:rPr>
        <w:t>models</w:t>
      </w:r>
      <w:r w:rsidR="00E723E1">
        <w:rPr>
          <w:lang w:val="en-GB"/>
        </w:rPr>
        <w:t xml:space="preserve">, highlighting the technology's </w:t>
      </w:r>
      <w:r w:rsidR="00FB1BCA">
        <w:rPr>
          <w:lang w:val="en-GB"/>
        </w:rPr>
        <w:t>essential</w:t>
      </w:r>
      <w:r w:rsidR="00E723E1">
        <w:rPr>
          <w:lang w:val="en-GB"/>
        </w:rPr>
        <w:t xml:space="preserve"> features,</w:t>
      </w:r>
      <w:r w:rsidR="00E95714">
        <w:rPr>
          <w:lang w:val="en-GB"/>
        </w:rPr>
        <w:t xml:space="preserve"> </w:t>
      </w:r>
      <w:r w:rsidR="00E723E1">
        <w:rPr>
          <w:lang w:val="en-GB"/>
        </w:rPr>
        <w:t xml:space="preserve">and fostering </w:t>
      </w:r>
      <w:r w:rsidR="00722B33">
        <w:rPr>
          <w:lang w:val="en-GB"/>
        </w:rPr>
        <w:t xml:space="preserve">its wide deployment in </w:t>
      </w:r>
      <w:r w:rsidR="00F748C6">
        <w:rPr>
          <w:lang w:val="en-GB"/>
        </w:rPr>
        <w:t>the industry</w:t>
      </w:r>
      <w:r w:rsidR="00722B33">
        <w:rPr>
          <w:lang w:val="en-GB"/>
        </w:rPr>
        <w:t>.</w:t>
      </w:r>
    </w:p>
    <w:p w14:paraId="205582DD" w14:textId="77777777" w:rsidR="007D469E" w:rsidRDefault="007D469E" w:rsidP="00F748C6">
      <w:pPr>
        <w:pStyle w:val="AbstractClauseTitle"/>
        <w:spacing w:before="240"/>
        <w:rPr>
          <w:lang w:val="en-GB"/>
        </w:rPr>
      </w:pPr>
      <w:r w:rsidRPr="00452749">
        <w:rPr>
          <w:lang w:val="en-GB"/>
        </w:rPr>
        <w:t>introduction</w:t>
      </w:r>
    </w:p>
    <w:p w14:paraId="53CC9AA6" w14:textId="4B614577" w:rsidR="00150D9A" w:rsidRDefault="00150D9A" w:rsidP="006B2BCA">
      <w:pPr>
        <w:pStyle w:val="Corpodeltesto2"/>
        <w:rPr>
          <w:lang w:val="en-GB"/>
        </w:rPr>
      </w:pPr>
      <w:r w:rsidRPr="00150D9A">
        <w:rPr>
          <w:lang w:val="en-GB"/>
        </w:rPr>
        <w:t>High-temperature heat pumps have the potential to play a crucial role in decarboni</w:t>
      </w:r>
      <w:r w:rsidR="00354E17">
        <w:rPr>
          <w:lang w:val="en-GB"/>
        </w:rPr>
        <w:t>s</w:t>
      </w:r>
      <w:r w:rsidRPr="00150D9A">
        <w:rPr>
          <w:lang w:val="en-GB"/>
        </w:rPr>
        <w:t xml:space="preserve">ing the heat demands of the industrial sector </w:t>
      </w:r>
      <w:r>
        <w:rPr>
          <w:lang w:val="en-GB"/>
        </w:rPr>
        <w:fldChar w:fldCharType="begin"/>
      </w:r>
      <w:r>
        <w:rPr>
          <w:lang w:val="en-GB"/>
        </w:rPr>
        <w:instrText xml:space="preserve"> REF _Ref145327969 \r \h </w:instrText>
      </w:r>
      <w:r>
        <w:rPr>
          <w:lang w:val="en-GB"/>
        </w:rPr>
      </w:r>
      <w:r>
        <w:rPr>
          <w:lang w:val="en-GB"/>
        </w:rPr>
        <w:fldChar w:fldCharType="separate"/>
      </w:r>
      <w:r w:rsidR="00D12E3A">
        <w:rPr>
          <w:lang w:val="en-GB"/>
        </w:rPr>
        <w:t>[1]</w:t>
      </w:r>
      <w:r>
        <w:rPr>
          <w:lang w:val="en-GB"/>
        </w:rPr>
        <w:fldChar w:fldCharType="end"/>
      </w:r>
      <w:r w:rsidRPr="00150D9A">
        <w:rPr>
          <w:lang w:val="en-GB"/>
        </w:rPr>
        <w:t>. Heat pumps based on the Brayton cycle have gained increasing attention, especially for applications above 150°C</w:t>
      </w:r>
      <w:r w:rsidR="00796643">
        <w:rPr>
          <w:lang w:val="en-GB"/>
        </w:rPr>
        <w:t xml:space="preserve"> – 200 °C</w:t>
      </w:r>
      <w:r w:rsidRPr="00150D9A">
        <w:rPr>
          <w:lang w:val="en-GB"/>
        </w:rPr>
        <w:t xml:space="preserve"> </w:t>
      </w:r>
      <w:r>
        <w:rPr>
          <w:lang w:val="en-GB"/>
        </w:rPr>
        <w:fldChar w:fldCharType="begin"/>
      </w:r>
      <w:r>
        <w:rPr>
          <w:lang w:val="en-GB"/>
        </w:rPr>
        <w:instrText xml:space="preserve"> REF _Ref145328144 \r \h </w:instrText>
      </w:r>
      <w:r>
        <w:rPr>
          <w:lang w:val="en-GB"/>
        </w:rPr>
      </w:r>
      <w:r>
        <w:rPr>
          <w:lang w:val="en-GB"/>
        </w:rPr>
        <w:fldChar w:fldCharType="separate"/>
      </w:r>
      <w:r w:rsidR="00D12E3A">
        <w:rPr>
          <w:lang w:val="en-GB"/>
        </w:rPr>
        <w:t>[2]</w:t>
      </w:r>
      <w:r>
        <w:rPr>
          <w:lang w:val="en-GB"/>
        </w:rPr>
        <w:fldChar w:fldCharType="end"/>
      </w:r>
      <w:r w:rsidRPr="00150D9A">
        <w:rPr>
          <w:lang w:val="en-GB"/>
        </w:rPr>
        <w:t>.</w:t>
      </w:r>
    </w:p>
    <w:p w14:paraId="547FFD1F" w14:textId="7045ED69" w:rsidR="004532DC" w:rsidRDefault="00F70218" w:rsidP="004532DC">
      <w:pPr>
        <w:pStyle w:val="Corpodeltesto2"/>
        <w:rPr>
          <w:lang w:val="en-GB"/>
        </w:rPr>
      </w:pPr>
      <w:r>
        <w:rPr>
          <w:lang w:val="en-GB"/>
        </w:rPr>
        <w:t>O</w:t>
      </w:r>
      <w:r w:rsidR="00CB308A" w:rsidRPr="00CB308A">
        <w:rPr>
          <w:lang w:val="en-GB"/>
        </w:rPr>
        <w:t xml:space="preserve">ne of the primary challenges </w:t>
      </w:r>
      <w:r w:rsidR="00427363">
        <w:rPr>
          <w:lang w:val="en-GB"/>
        </w:rPr>
        <w:t xml:space="preserve">of this </w:t>
      </w:r>
      <w:r w:rsidR="00736F17">
        <w:rPr>
          <w:lang w:val="en-GB"/>
        </w:rPr>
        <w:t xml:space="preserve">work </w:t>
      </w:r>
      <w:r w:rsidR="00CB308A" w:rsidRPr="00CB308A">
        <w:rPr>
          <w:lang w:val="en-GB"/>
        </w:rPr>
        <w:t>is ensuring compatibility between project requirements and the technical specifications of the components available on the market.</w:t>
      </w:r>
      <w:r w:rsidR="00796643">
        <w:rPr>
          <w:lang w:val="en-GB"/>
        </w:rPr>
        <w:t xml:space="preserve"> </w:t>
      </w:r>
      <w:r w:rsidR="00427363">
        <w:rPr>
          <w:lang w:val="en-GB"/>
        </w:rPr>
        <w:t>Moreover</w:t>
      </w:r>
      <w:r w:rsidR="001942D3">
        <w:rPr>
          <w:lang w:val="en-GB"/>
        </w:rPr>
        <w:t>,</w:t>
      </w:r>
      <w:r w:rsidR="00427363">
        <w:rPr>
          <w:lang w:val="en-GB"/>
        </w:rPr>
        <w:t xml:space="preserve"> </w:t>
      </w:r>
      <w:r w:rsidR="001942D3">
        <w:rPr>
          <w:lang w:val="en-GB"/>
        </w:rPr>
        <w:t>t</w:t>
      </w:r>
      <w:r w:rsidR="004532DC" w:rsidRPr="00452749">
        <w:rPr>
          <w:lang w:val="en-GB"/>
        </w:rPr>
        <w:t>he test rig is designed to promote flexibility and allows testing of four distinct operating conditions for the heat pump: closed- and open-loop</w:t>
      </w:r>
      <w:r w:rsidR="00FB1BCA">
        <w:rPr>
          <w:lang w:val="en-GB"/>
        </w:rPr>
        <w:t>, regenerated,</w:t>
      </w:r>
      <w:r w:rsidR="004532DC" w:rsidRPr="00452749">
        <w:rPr>
          <w:lang w:val="en-GB"/>
        </w:rPr>
        <w:t xml:space="preserve"> and non-regenerated. With a set of valves, it is possible to bypass the regenerative heat exchanger, transitioning from one operational state to another. In contrast, open loop operation is achieved simply by disconnecting the turbine outlet from the compressor inlet.</w:t>
      </w:r>
    </w:p>
    <w:p w14:paraId="6FA9EC24" w14:textId="631914D5" w:rsidR="004F4AAF" w:rsidRDefault="004F4AAF" w:rsidP="004532DC">
      <w:pPr>
        <w:pStyle w:val="Corpodeltesto2"/>
        <w:rPr>
          <w:lang w:val="en-GB"/>
        </w:rPr>
      </w:pPr>
      <w:r>
        <w:rPr>
          <w:lang w:val="en-GB"/>
        </w:rPr>
        <w:t xml:space="preserve">Eventually, the cycle can operate </w:t>
      </w:r>
      <w:r w:rsidR="00C9177C">
        <w:rPr>
          <w:lang w:val="en-GB"/>
        </w:rPr>
        <w:t xml:space="preserve">alternatively with an expansion valve or a turbine </w:t>
      </w:r>
      <w:r w:rsidR="00146E86">
        <w:rPr>
          <w:lang w:val="en-GB"/>
        </w:rPr>
        <w:t>for the expansion phase.</w:t>
      </w:r>
    </w:p>
    <w:p w14:paraId="4ACF6B0E" w14:textId="77777777" w:rsidR="007D469E" w:rsidRPr="00452749" w:rsidRDefault="007D469E" w:rsidP="007D469E">
      <w:pPr>
        <w:pStyle w:val="NomenclatureClauseTitle"/>
        <w:rPr>
          <w:lang w:val="en-GB"/>
        </w:rPr>
      </w:pPr>
      <w:r w:rsidRPr="00452749">
        <w:rPr>
          <w:lang w:val="en-GB"/>
        </w:rPr>
        <w:t>RESULTS and DISCUSSION</w:t>
      </w:r>
    </w:p>
    <w:p w14:paraId="5C3D6D4C" w14:textId="2BAF7273" w:rsidR="00D12583" w:rsidRDefault="001B6643" w:rsidP="003B0751">
      <w:pPr>
        <w:pStyle w:val="Corpodeltesto2"/>
        <w:rPr>
          <w:lang w:val="en-GB"/>
        </w:rPr>
      </w:pPr>
      <w:r w:rsidRPr="001B6643">
        <w:rPr>
          <w:lang w:val="en-GB"/>
        </w:rPr>
        <w:t xml:space="preserve">Based on what is available on the market and considering the main limitations of turbomachinery, the thermodynamic cycle will evolve </w:t>
      </w:r>
      <w:r w:rsidR="00B628E6">
        <w:rPr>
          <w:lang w:val="en-GB"/>
        </w:rPr>
        <w:t xml:space="preserve">with </w:t>
      </w:r>
      <w:r w:rsidRPr="001B6643">
        <w:rPr>
          <w:lang w:val="en-GB"/>
        </w:rPr>
        <w:t xml:space="preserve">a maximum </w:t>
      </w:r>
      <w:r w:rsidR="00B628E6">
        <w:rPr>
          <w:lang w:val="en-GB"/>
        </w:rPr>
        <w:t xml:space="preserve">temperature </w:t>
      </w:r>
      <w:r w:rsidRPr="001B6643">
        <w:rPr>
          <w:lang w:val="en-GB"/>
        </w:rPr>
        <w:t>of 135°C</w:t>
      </w:r>
      <w:r w:rsidR="00B628E6">
        <w:rPr>
          <w:lang w:val="en-GB"/>
        </w:rPr>
        <w:t xml:space="preserve"> and a </w:t>
      </w:r>
      <w:r w:rsidR="00225859">
        <w:rPr>
          <w:lang w:val="en-GB"/>
        </w:rPr>
        <w:t>maximum pressure ratio of 2.1</w:t>
      </w:r>
      <w:r w:rsidR="00FB1BCA">
        <w:rPr>
          <w:lang w:val="en-GB"/>
        </w:rPr>
        <w:t>,</w:t>
      </w:r>
      <w:r w:rsidR="00225859">
        <w:rPr>
          <w:lang w:val="en-GB"/>
        </w:rPr>
        <w:t xml:space="preserve"> </w:t>
      </w:r>
      <w:r w:rsidR="00B56771">
        <w:rPr>
          <w:lang w:val="en-GB"/>
        </w:rPr>
        <w:t>depending</w:t>
      </w:r>
      <w:r w:rsidR="00225859">
        <w:rPr>
          <w:lang w:val="en-GB"/>
        </w:rPr>
        <w:t xml:space="preserve"> on </w:t>
      </w:r>
      <w:r w:rsidR="00FB1BCA">
        <w:rPr>
          <w:lang w:val="en-GB"/>
        </w:rPr>
        <w:t>the chosen cycle configuratio</w:t>
      </w:r>
      <w:r w:rsidR="00B56771">
        <w:rPr>
          <w:lang w:val="en-GB"/>
        </w:rPr>
        <w:t>n</w:t>
      </w:r>
      <w:r w:rsidRPr="001B6643">
        <w:rPr>
          <w:lang w:val="en-GB"/>
        </w:rPr>
        <w:t>.</w:t>
      </w:r>
    </w:p>
    <w:p w14:paraId="1A427A5C" w14:textId="4A6302D9" w:rsidR="00EA407C" w:rsidRDefault="00C80D2B" w:rsidP="009B14DA">
      <w:pPr>
        <w:pStyle w:val="Corpodeltesto2"/>
        <w:rPr>
          <w:lang w:val="en-GB"/>
        </w:rPr>
      </w:pPr>
      <w:r w:rsidRPr="00C80D2B">
        <w:rPr>
          <w:lang w:val="en-GB"/>
        </w:rPr>
        <w:t xml:space="preserve">Two compressors </w:t>
      </w:r>
      <w:r w:rsidR="00CC7553">
        <w:rPr>
          <w:lang w:val="en-GB"/>
        </w:rPr>
        <w:t xml:space="preserve">for applications </w:t>
      </w:r>
      <w:r w:rsidR="00354E17">
        <w:rPr>
          <w:lang w:val="en-GB"/>
        </w:rPr>
        <w:t>related to fuel cells</w:t>
      </w:r>
      <w:r w:rsidR="00264F8A">
        <w:rPr>
          <w:lang w:val="en-GB"/>
        </w:rPr>
        <w:t xml:space="preserve"> </w:t>
      </w:r>
      <w:r w:rsidR="009340CC">
        <w:rPr>
          <w:lang w:val="en-GB"/>
        </w:rPr>
        <w:fldChar w:fldCharType="begin"/>
      </w:r>
      <w:r w:rsidR="009340CC">
        <w:rPr>
          <w:lang w:val="en-GB"/>
        </w:rPr>
        <w:instrText xml:space="preserve"> REF _Ref160643271 \r \h </w:instrText>
      </w:r>
      <w:r w:rsidR="009340CC">
        <w:rPr>
          <w:lang w:val="en-GB"/>
        </w:rPr>
      </w:r>
      <w:r w:rsidR="009340CC">
        <w:rPr>
          <w:lang w:val="en-GB"/>
        </w:rPr>
        <w:fldChar w:fldCharType="separate"/>
      </w:r>
      <w:r w:rsidR="00D12E3A">
        <w:rPr>
          <w:lang w:val="en-GB"/>
        </w:rPr>
        <w:t>[3]</w:t>
      </w:r>
      <w:r w:rsidR="009340CC">
        <w:rPr>
          <w:lang w:val="en-GB"/>
        </w:rPr>
        <w:fldChar w:fldCharType="end"/>
      </w:r>
      <w:r w:rsidR="00354E17">
        <w:rPr>
          <w:lang w:val="en-GB"/>
        </w:rPr>
        <w:t xml:space="preserve"> </w:t>
      </w:r>
      <w:r w:rsidRPr="00C80D2B">
        <w:rPr>
          <w:lang w:val="en-GB"/>
        </w:rPr>
        <w:t>and a turbocharger</w:t>
      </w:r>
      <w:r w:rsidR="009340CC">
        <w:rPr>
          <w:lang w:val="en-GB"/>
        </w:rPr>
        <w:t xml:space="preserve"> </w:t>
      </w:r>
      <w:r w:rsidR="009340CC">
        <w:rPr>
          <w:lang w:val="en-GB"/>
        </w:rPr>
        <w:fldChar w:fldCharType="begin"/>
      </w:r>
      <w:r w:rsidR="009340CC">
        <w:rPr>
          <w:lang w:val="en-GB"/>
        </w:rPr>
        <w:instrText xml:space="preserve"> REF _Ref160643281 \r \h </w:instrText>
      </w:r>
      <w:r w:rsidR="009340CC">
        <w:rPr>
          <w:lang w:val="en-GB"/>
        </w:rPr>
      </w:r>
      <w:r w:rsidR="009340CC">
        <w:rPr>
          <w:lang w:val="en-GB"/>
        </w:rPr>
        <w:fldChar w:fldCharType="separate"/>
      </w:r>
      <w:r w:rsidR="00D12E3A">
        <w:rPr>
          <w:lang w:val="en-GB"/>
        </w:rPr>
        <w:t>[4]</w:t>
      </w:r>
      <w:r w:rsidR="009340CC">
        <w:rPr>
          <w:lang w:val="en-GB"/>
        </w:rPr>
        <w:fldChar w:fldCharType="end"/>
      </w:r>
      <w:r w:rsidRPr="00C80D2B">
        <w:rPr>
          <w:lang w:val="en-GB"/>
        </w:rPr>
        <w:t xml:space="preserve"> </w:t>
      </w:r>
      <w:r w:rsidR="007217DB">
        <w:rPr>
          <w:lang w:val="en-GB"/>
        </w:rPr>
        <w:t xml:space="preserve">from the </w:t>
      </w:r>
      <w:r w:rsidR="007217DB" w:rsidRPr="00C80D2B">
        <w:rPr>
          <w:lang w:val="en-GB"/>
        </w:rPr>
        <w:t>automotive</w:t>
      </w:r>
      <w:r w:rsidR="007217DB">
        <w:rPr>
          <w:lang w:val="en-GB"/>
        </w:rPr>
        <w:t xml:space="preserve"> </w:t>
      </w:r>
      <w:r w:rsidR="007217DB" w:rsidRPr="00C80D2B">
        <w:rPr>
          <w:lang w:val="en-GB"/>
        </w:rPr>
        <w:t xml:space="preserve">sector </w:t>
      </w:r>
      <w:r w:rsidRPr="00C80D2B">
        <w:rPr>
          <w:lang w:val="en-GB"/>
        </w:rPr>
        <w:t xml:space="preserve">were selected. </w:t>
      </w:r>
      <w:r w:rsidR="00354E17">
        <w:rPr>
          <w:lang w:val="en-GB"/>
        </w:rPr>
        <w:t>A turbocharger was employed instead of a single turbine</w:t>
      </w:r>
      <w:r w:rsidRPr="00C80D2B">
        <w:rPr>
          <w:lang w:val="en-GB"/>
        </w:rPr>
        <w:t xml:space="preserve"> due to its market availability</w:t>
      </w:r>
      <w:r w:rsidR="001B1EA9">
        <w:rPr>
          <w:lang w:val="en-GB"/>
        </w:rPr>
        <w:t xml:space="preserve"> </w:t>
      </w:r>
      <w:r w:rsidR="00354E17">
        <w:rPr>
          <w:lang w:val="en-GB"/>
        </w:rPr>
        <w:t>to realise</w:t>
      </w:r>
      <w:r w:rsidR="001B1EA9">
        <w:rPr>
          <w:lang w:val="en-GB"/>
        </w:rPr>
        <w:t xml:space="preserve"> the test rig</w:t>
      </w:r>
      <w:r w:rsidRPr="00C80D2B">
        <w:rPr>
          <w:lang w:val="en-GB"/>
        </w:rPr>
        <w:t xml:space="preserve">. Additionally, the turbine's characteristics influenced the choice of two parallel compressors to handle the </w:t>
      </w:r>
      <w:r w:rsidR="009B14DA">
        <w:rPr>
          <w:lang w:val="en-GB"/>
        </w:rPr>
        <w:t>required</w:t>
      </w:r>
      <w:r w:rsidR="009B14DA" w:rsidRPr="00C80D2B">
        <w:rPr>
          <w:lang w:val="en-GB"/>
        </w:rPr>
        <w:t xml:space="preserve"> </w:t>
      </w:r>
      <w:r w:rsidRPr="00C80D2B">
        <w:rPr>
          <w:lang w:val="en-GB"/>
        </w:rPr>
        <w:t>air</w:t>
      </w:r>
      <w:r w:rsidR="009B14DA">
        <w:rPr>
          <w:lang w:val="en-GB"/>
        </w:rPr>
        <w:t xml:space="preserve"> </w:t>
      </w:r>
      <w:r w:rsidRPr="00C80D2B">
        <w:rPr>
          <w:lang w:val="en-GB"/>
        </w:rPr>
        <w:t>flow</w:t>
      </w:r>
      <w:r w:rsidR="009B14DA">
        <w:rPr>
          <w:lang w:val="en-GB"/>
        </w:rPr>
        <w:t xml:space="preserve"> </w:t>
      </w:r>
      <w:r w:rsidRPr="00C80D2B">
        <w:rPr>
          <w:lang w:val="en-GB"/>
        </w:rPr>
        <w:t>rate.</w:t>
      </w:r>
      <w:r w:rsidR="009B14DA">
        <w:rPr>
          <w:lang w:val="en-GB"/>
        </w:rPr>
        <w:t xml:space="preserve"> </w:t>
      </w:r>
      <w:r w:rsidR="00690D85">
        <w:rPr>
          <w:lang w:val="en-GB"/>
        </w:rPr>
        <w:t xml:space="preserve">The </w:t>
      </w:r>
      <w:r w:rsidR="00B01F13">
        <w:rPr>
          <w:lang w:val="en-GB"/>
        </w:rPr>
        <w:t xml:space="preserve">selected machines are reported in </w:t>
      </w:r>
      <w:r w:rsidR="00B01F13">
        <w:rPr>
          <w:lang w:val="en-GB"/>
        </w:rPr>
        <w:fldChar w:fldCharType="begin"/>
      </w:r>
      <w:r w:rsidR="00B01F13">
        <w:rPr>
          <w:lang w:val="en-GB"/>
        </w:rPr>
        <w:instrText xml:space="preserve"> REF _Ref145412340 \h </w:instrText>
      </w:r>
      <w:r w:rsidR="00B01F13">
        <w:rPr>
          <w:lang w:val="en-GB"/>
        </w:rPr>
      </w:r>
      <w:r w:rsidR="00B01F13">
        <w:rPr>
          <w:lang w:val="en-GB"/>
        </w:rPr>
        <w:fldChar w:fldCharType="separate"/>
      </w:r>
      <w:r w:rsidR="00D12E3A">
        <w:t xml:space="preserve">Table </w:t>
      </w:r>
      <w:r w:rsidR="00D12E3A">
        <w:rPr>
          <w:noProof/>
        </w:rPr>
        <w:t>1</w:t>
      </w:r>
      <w:r w:rsidR="00B01F13">
        <w:rPr>
          <w:lang w:val="en-GB"/>
        </w:rPr>
        <w:fldChar w:fldCharType="end"/>
      </w:r>
      <w:r w:rsidR="00B01F13">
        <w:rPr>
          <w:lang w:val="en-GB"/>
        </w:rPr>
        <w:t>.</w:t>
      </w:r>
    </w:p>
    <w:p w14:paraId="1B2858F1" w14:textId="77777777" w:rsidR="009B14DA" w:rsidRDefault="009B14DA" w:rsidP="009B14DA">
      <w:pPr>
        <w:pStyle w:val="Corpodeltesto2"/>
        <w:rPr>
          <w:lang w:val="en-GB"/>
        </w:rPr>
      </w:pPr>
    </w:p>
    <w:tbl>
      <w:tblPr>
        <w:tblStyle w:val="Grigliatabella"/>
        <w:tblW w:w="8789" w:type="dxa"/>
        <w:jc w:val="center"/>
        <w:tblLook w:val="04A0" w:firstRow="1" w:lastRow="0" w:firstColumn="1" w:lastColumn="0" w:noHBand="0" w:noVBand="1"/>
      </w:tblPr>
      <w:tblGrid>
        <w:gridCol w:w="2265"/>
        <w:gridCol w:w="1894"/>
        <w:gridCol w:w="1653"/>
        <w:gridCol w:w="1559"/>
        <w:gridCol w:w="1418"/>
      </w:tblGrid>
      <w:tr w:rsidR="001872EC" w:rsidRPr="00755AFB" w14:paraId="1CE12FA6" w14:textId="6BE2DB20" w:rsidTr="00F65B78">
        <w:trPr>
          <w:jc w:val="center"/>
        </w:trPr>
        <w:tc>
          <w:tcPr>
            <w:tcW w:w="0" w:type="auto"/>
            <w:tcBorders>
              <w:top w:val="nil"/>
              <w:left w:val="nil"/>
              <w:right w:val="single" w:sz="12" w:space="0" w:color="auto"/>
            </w:tcBorders>
            <w:vAlign w:val="center"/>
          </w:tcPr>
          <w:p w14:paraId="055420C1" w14:textId="77777777" w:rsidR="001872EC" w:rsidRPr="00726E38" w:rsidRDefault="001872EC" w:rsidP="001872EC">
            <w:pPr>
              <w:pStyle w:val="Corpodeltesto2"/>
              <w:ind w:firstLine="0"/>
              <w:jc w:val="center"/>
              <w:rPr>
                <w:lang w:val="en-GB"/>
              </w:rPr>
            </w:pPr>
          </w:p>
        </w:tc>
        <w:tc>
          <w:tcPr>
            <w:tcW w:w="0" w:type="auto"/>
            <w:tcBorders>
              <w:top w:val="single" w:sz="12" w:space="0" w:color="auto"/>
              <w:left w:val="single" w:sz="12" w:space="0" w:color="auto"/>
              <w:bottom w:val="single" w:sz="12" w:space="0" w:color="auto"/>
              <w:right w:val="single" w:sz="12" w:space="0" w:color="auto"/>
            </w:tcBorders>
            <w:vAlign w:val="center"/>
          </w:tcPr>
          <w:p w14:paraId="21EB6249" w14:textId="5008ACF3" w:rsidR="001872EC" w:rsidRDefault="001872EC" w:rsidP="004E34BA">
            <w:pPr>
              <w:pStyle w:val="Corpodeltesto2"/>
              <w:spacing w:before="60" w:after="60"/>
              <w:ind w:firstLine="0"/>
              <w:jc w:val="center"/>
              <w:rPr>
                <w:b/>
                <w:bCs/>
                <w:lang w:val="en-GB"/>
              </w:rPr>
            </w:pPr>
            <w:r>
              <w:rPr>
                <w:b/>
                <w:bCs/>
                <w:lang w:val="en-GB"/>
              </w:rPr>
              <w:t>Name</w:t>
            </w:r>
          </w:p>
        </w:tc>
        <w:tc>
          <w:tcPr>
            <w:tcW w:w="1653" w:type="dxa"/>
            <w:tcBorders>
              <w:top w:val="single" w:sz="12" w:space="0" w:color="auto"/>
              <w:left w:val="single" w:sz="12" w:space="0" w:color="auto"/>
              <w:bottom w:val="single" w:sz="12" w:space="0" w:color="auto"/>
              <w:right w:val="single" w:sz="12" w:space="0" w:color="auto"/>
            </w:tcBorders>
            <w:vAlign w:val="center"/>
          </w:tcPr>
          <w:p w14:paraId="2857193C" w14:textId="17D10374" w:rsidR="001872EC" w:rsidRDefault="001872EC" w:rsidP="004E34BA">
            <w:pPr>
              <w:pStyle w:val="Corpodeltesto2"/>
              <w:spacing w:before="60" w:after="60"/>
              <w:ind w:firstLine="0"/>
              <w:jc w:val="center"/>
              <w:rPr>
                <w:b/>
                <w:bCs/>
                <w:lang w:val="en-GB"/>
              </w:rPr>
            </w:pPr>
            <w:r>
              <w:rPr>
                <w:b/>
                <w:bCs/>
                <w:lang w:val="en-GB"/>
              </w:rPr>
              <w:t xml:space="preserve">Nominal power </w:t>
            </w:r>
            <w:r w:rsidRPr="00726E38">
              <w:rPr>
                <w:lang w:val="en-GB"/>
              </w:rPr>
              <w:t>[kW]</w:t>
            </w:r>
          </w:p>
        </w:tc>
        <w:tc>
          <w:tcPr>
            <w:tcW w:w="1559" w:type="dxa"/>
            <w:tcBorders>
              <w:top w:val="single" w:sz="12" w:space="0" w:color="auto"/>
              <w:left w:val="single" w:sz="12" w:space="0" w:color="auto"/>
              <w:bottom w:val="single" w:sz="12" w:space="0" w:color="auto"/>
              <w:right w:val="single" w:sz="12" w:space="0" w:color="auto"/>
            </w:tcBorders>
            <w:vAlign w:val="center"/>
          </w:tcPr>
          <w:p w14:paraId="077935DA" w14:textId="2F2E2FBF" w:rsidR="001872EC" w:rsidRPr="00726E38" w:rsidRDefault="001872EC" w:rsidP="004E34BA">
            <w:pPr>
              <w:pStyle w:val="Corpodeltesto2"/>
              <w:spacing w:before="60" w:after="60"/>
              <w:ind w:firstLine="0"/>
              <w:jc w:val="center"/>
              <w:rPr>
                <w:b/>
                <w:bCs/>
                <w:lang w:val="en-GB"/>
              </w:rPr>
            </w:pPr>
            <w:r>
              <w:rPr>
                <w:b/>
                <w:bCs/>
                <w:lang w:val="en-GB"/>
              </w:rPr>
              <w:t xml:space="preserve">Test rig power </w:t>
            </w:r>
            <w:r w:rsidRPr="00726E38">
              <w:rPr>
                <w:lang w:val="en-GB"/>
              </w:rPr>
              <w:t>[kW]</w:t>
            </w:r>
          </w:p>
        </w:tc>
        <w:tc>
          <w:tcPr>
            <w:tcW w:w="1418" w:type="dxa"/>
            <w:tcBorders>
              <w:top w:val="single" w:sz="12" w:space="0" w:color="auto"/>
              <w:left w:val="single" w:sz="12" w:space="0" w:color="auto"/>
              <w:bottom w:val="single" w:sz="12" w:space="0" w:color="auto"/>
              <w:right w:val="single" w:sz="12" w:space="0" w:color="auto"/>
            </w:tcBorders>
          </w:tcPr>
          <w:p w14:paraId="78FD4791" w14:textId="7F38EECE" w:rsidR="001872EC" w:rsidRDefault="001872EC" w:rsidP="004E34BA">
            <w:pPr>
              <w:pStyle w:val="Corpodeltesto2"/>
              <w:spacing w:before="60" w:after="60"/>
              <w:ind w:firstLine="0"/>
              <w:jc w:val="center"/>
              <w:rPr>
                <w:b/>
                <w:bCs/>
                <w:lang w:val="en-GB"/>
              </w:rPr>
            </w:pPr>
            <w:r>
              <w:rPr>
                <w:b/>
                <w:bCs/>
                <w:lang w:val="en-GB"/>
              </w:rPr>
              <w:t xml:space="preserve">Air flow rate </w:t>
            </w:r>
            <w:r>
              <w:rPr>
                <w:lang w:val="en-GB"/>
              </w:rPr>
              <w:t>[kg/s]</w:t>
            </w:r>
          </w:p>
        </w:tc>
      </w:tr>
      <w:tr w:rsidR="001872EC" w:rsidRPr="00755AFB" w14:paraId="4F4F81F9" w14:textId="3F8B084E" w:rsidTr="00F65B78">
        <w:trPr>
          <w:jc w:val="center"/>
        </w:trPr>
        <w:tc>
          <w:tcPr>
            <w:tcW w:w="0" w:type="auto"/>
            <w:tcBorders>
              <w:top w:val="single" w:sz="12" w:space="0" w:color="auto"/>
              <w:left w:val="single" w:sz="12" w:space="0" w:color="auto"/>
              <w:right w:val="single" w:sz="12" w:space="0" w:color="auto"/>
            </w:tcBorders>
            <w:vAlign w:val="center"/>
          </w:tcPr>
          <w:p w14:paraId="3E0C2DCA" w14:textId="57A8F2F6" w:rsidR="001872EC" w:rsidRPr="00726E38" w:rsidRDefault="001872EC" w:rsidP="001872EC">
            <w:pPr>
              <w:pStyle w:val="Corpodeltesto2"/>
              <w:ind w:firstLine="18"/>
              <w:jc w:val="center"/>
              <w:rPr>
                <w:b/>
                <w:bCs/>
                <w:lang w:val="en-GB"/>
              </w:rPr>
            </w:pPr>
            <w:r>
              <w:rPr>
                <w:b/>
                <w:bCs/>
                <w:lang w:val="en-GB"/>
              </w:rPr>
              <w:t>Turbine (turbocharger)</w:t>
            </w:r>
          </w:p>
        </w:tc>
        <w:tc>
          <w:tcPr>
            <w:tcW w:w="0" w:type="auto"/>
            <w:tcBorders>
              <w:top w:val="single" w:sz="12" w:space="0" w:color="auto"/>
              <w:left w:val="single" w:sz="12" w:space="0" w:color="auto"/>
              <w:right w:val="single" w:sz="4" w:space="0" w:color="auto"/>
            </w:tcBorders>
            <w:vAlign w:val="center"/>
          </w:tcPr>
          <w:p w14:paraId="0FBFC236" w14:textId="5D6715BE" w:rsidR="001872EC" w:rsidRDefault="001872EC" w:rsidP="001872EC">
            <w:pPr>
              <w:pStyle w:val="Corpodeltesto2"/>
              <w:ind w:firstLine="0"/>
              <w:jc w:val="center"/>
              <w:rPr>
                <w:lang w:val="en-GB"/>
              </w:rPr>
            </w:pPr>
            <w:r w:rsidRPr="0028228F">
              <w:rPr>
                <w:lang w:val="en-GB"/>
              </w:rPr>
              <w:t>Garrett GBC14-200</w:t>
            </w:r>
          </w:p>
        </w:tc>
        <w:tc>
          <w:tcPr>
            <w:tcW w:w="1653" w:type="dxa"/>
            <w:tcBorders>
              <w:top w:val="single" w:sz="12" w:space="0" w:color="auto"/>
              <w:left w:val="single" w:sz="4" w:space="0" w:color="auto"/>
              <w:right w:val="single" w:sz="4" w:space="0" w:color="auto"/>
            </w:tcBorders>
            <w:vAlign w:val="center"/>
          </w:tcPr>
          <w:p w14:paraId="53818AFC" w14:textId="56D2A979" w:rsidR="001872EC" w:rsidRPr="005B537A" w:rsidRDefault="007155AF" w:rsidP="001872EC">
            <w:pPr>
              <w:pStyle w:val="Corpodeltesto2"/>
              <w:ind w:firstLine="0"/>
              <w:jc w:val="center"/>
              <w:rPr>
                <w:lang w:val="en-GB"/>
              </w:rPr>
            </w:pPr>
            <w:r>
              <w:rPr>
                <w:lang w:val="en-GB"/>
              </w:rPr>
              <w:t>N/A</w:t>
            </w:r>
          </w:p>
        </w:tc>
        <w:tc>
          <w:tcPr>
            <w:tcW w:w="1559" w:type="dxa"/>
            <w:tcBorders>
              <w:top w:val="single" w:sz="12" w:space="0" w:color="auto"/>
              <w:left w:val="single" w:sz="4" w:space="0" w:color="auto"/>
              <w:right w:val="single" w:sz="4" w:space="0" w:color="auto"/>
            </w:tcBorders>
            <w:vAlign w:val="center"/>
          </w:tcPr>
          <w:p w14:paraId="744578AB" w14:textId="097B167B" w:rsidR="001872EC" w:rsidRPr="005B537A" w:rsidRDefault="005B537A" w:rsidP="001872EC">
            <w:pPr>
              <w:pStyle w:val="Corpodeltesto2"/>
              <w:ind w:firstLine="0"/>
              <w:jc w:val="center"/>
              <w:rPr>
                <w:lang w:val="en-GB"/>
              </w:rPr>
            </w:pPr>
            <w:r w:rsidRPr="005B537A">
              <w:rPr>
                <w:lang w:val="en-GB"/>
              </w:rPr>
              <w:t>5</w:t>
            </w:r>
          </w:p>
        </w:tc>
        <w:tc>
          <w:tcPr>
            <w:tcW w:w="1418" w:type="dxa"/>
            <w:tcBorders>
              <w:top w:val="single" w:sz="12" w:space="0" w:color="auto"/>
              <w:left w:val="single" w:sz="4" w:space="0" w:color="auto"/>
              <w:right w:val="single" w:sz="12" w:space="0" w:color="auto"/>
            </w:tcBorders>
          </w:tcPr>
          <w:p w14:paraId="53CA7459" w14:textId="4966407A" w:rsidR="001872EC" w:rsidRDefault="001872EC" w:rsidP="001872EC">
            <w:pPr>
              <w:pStyle w:val="Corpodeltesto2"/>
              <w:ind w:firstLine="0"/>
              <w:jc w:val="center"/>
              <w:rPr>
                <w:lang w:val="en-GB"/>
              </w:rPr>
            </w:pPr>
            <w:r>
              <w:rPr>
                <w:lang w:val="en-GB"/>
              </w:rPr>
              <w:t>0.11</w:t>
            </w:r>
          </w:p>
        </w:tc>
      </w:tr>
      <w:tr w:rsidR="001872EC" w:rsidRPr="00755AFB" w14:paraId="3C6396BD" w14:textId="3910B45C" w:rsidTr="00F65B78">
        <w:trPr>
          <w:jc w:val="center"/>
        </w:trPr>
        <w:tc>
          <w:tcPr>
            <w:tcW w:w="0" w:type="auto"/>
            <w:tcBorders>
              <w:left w:val="single" w:sz="12" w:space="0" w:color="auto"/>
              <w:bottom w:val="single" w:sz="12" w:space="0" w:color="auto"/>
              <w:right w:val="single" w:sz="12" w:space="0" w:color="auto"/>
            </w:tcBorders>
            <w:vAlign w:val="center"/>
          </w:tcPr>
          <w:p w14:paraId="3839FDEE" w14:textId="24CD6B18" w:rsidR="001872EC" w:rsidRPr="00726E38" w:rsidRDefault="001872EC" w:rsidP="001872EC">
            <w:pPr>
              <w:pStyle w:val="Corpodeltesto2"/>
              <w:ind w:firstLine="18"/>
              <w:jc w:val="center"/>
              <w:rPr>
                <w:b/>
                <w:bCs/>
                <w:lang w:val="en-GB"/>
              </w:rPr>
            </w:pPr>
            <w:r>
              <w:rPr>
                <w:b/>
                <w:bCs/>
                <w:lang w:val="en-GB"/>
              </w:rPr>
              <w:t>Compressor</w:t>
            </w:r>
            <w:r w:rsidR="006F7E1E">
              <w:rPr>
                <w:b/>
                <w:bCs/>
                <w:lang w:val="en-GB"/>
              </w:rPr>
              <w:t xml:space="preserve"> (x2)</w:t>
            </w:r>
          </w:p>
        </w:tc>
        <w:tc>
          <w:tcPr>
            <w:tcW w:w="0" w:type="auto"/>
            <w:tcBorders>
              <w:left w:val="single" w:sz="12" w:space="0" w:color="auto"/>
              <w:bottom w:val="single" w:sz="12" w:space="0" w:color="auto"/>
              <w:right w:val="single" w:sz="4" w:space="0" w:color="auto"/>
            </w:tcBorders>
            <w:vAlign w:val="center"/>
          </w:tcPr>
          <w:p w14:paraId="6BA79DF4" w14:textId="56B9FEF3" w:rsidR="001872EC" w:rsidRDefault="001872EC" w:rsidP="001872EC">
            <w:pPr>
              <w:pStyle w:val="Corpodeltesto2"/>
              <w:ind w:firstLine="0"/>
              <w:jc w:val="center"/>
              <w:rPr>
                <w:lang w:val="en-GB"/>
              </w:rPr>
            </w:pPr>
            <w:r w:rsidRPr="0028228F">
              <w:rPr>
                <w:lang w:val="en-GB"/>
              </w:rPr>
              <w:t>Rotrex EK10C-0822</w:t>
            </w:r>
          </w:p>
        </w:tc>
        <w:tc>
          <w:tcPr>
            <w:tcW w:w="1653" w:type="dxa"/>
            <w:tcBorders>
              <w:left w:val="single" w:sz="4" w:space="0" w:color="auto"/>
              <w:bottom w:val="single" w:sz="12" w:space="0" w:color="auto"/>
              <w:right w:val="single" w:sz="4" w:space="0" w:color="auto"/>
            </w:tcBorders>
            <w:vAlign w:val="center"/>
          </w:tcPr>
          <w:p w14:paraId="54216813" w14:textId="2C3A72CC" w:rsidR="001872EC" w:rsidRDefault="001872EC" w:rsidP="001872EC">
            <w:pPr>
              <w:pStyle w:val="Corpodeltesto2"/>
              <w:ind w:firstLine="0"/>
              <w:jc w:val="center"/>
              <w:rPr>
                <w:lang w:val="en-GB"/>
              </w:rPr>
            </w:pPr>
            <w:r>
              <w:rPr>
                <w:lang w:val="en-GB"/>
              </w:rPr>
              <w:t>13</w:t>
            </w:r>
          </w:p>
        </w:tc>
        <w:tc>
          <w:tcPr>
            <w:tcW w:w="1559" w:type="dxa"/>
            <w:tcBorders>
              <w:left w:val="single" w:sz="4" w:space="0" w:color="auto"/>
              <w:bottom w:val="single" w:sz="12" w:space="0" w:color="auto"/>
              <w:right w:val="single" w:sz="4" w:space="0" w:color="auto"/>
            </w:tcBorders>
            <w:vAlign w:val="center"/>
          </w:tcPr>
          <w:p w14:paraId="23CF7073" w14:textId="16C0E6EB" w:rsidR="001872EC" w:rsidRPr="00726E38" w:rsidRDefault="005B537A" w:rsidP="001872EC">
            <w:pPr>
              <w:pStyle w:val="Corpodeltesto2"/>
              <w:ind w:firstLine="0"/>
              <w:jc w:val="center"/>
              <w:rPr>
                <w:lang w:val="en-GB"/>
              </w:rPr>
            </w:pPr>
            <w:r>
              <w:rPr>
                <w:lang w:val="en-GB"/>
              </w:rPr>
              <w:t>5.5</w:t>
            </w:r>
          </w:p>
        </w:tc>
        <w:tc>
          <w:tcPr>
            <w:tcW w:w="1418" w:type="dxa"/>
            <w:tcBorders>
              <w:left w:val="single" w:sz="4" w:space="0" w:color="auto"/>
              <w:bottom w:val="single" w:sz="12" w:space="0" w:color="auto"/>
              <w:right w:val="single" w:sz="12" w:space="0" w:color="auto"/>
            </w:tcBorders>
          </w:tcPr>
          <w:p w14:paraId="50E40623" w14:textId="1D221C00" w:rsidR="001872EC" w:rsidRDefault="001872EC" w:rsidP="001872EC">
            <w:pPr>
              <w:pStyle w:val="Corpodeltesto2"/>
              <w:ind w:firstLine="0"/>
              <w:jc w:val="center"/>
              <w:rPr>
                <w:lang w:val="en-GB"/>
              </w:rPr>
            </w:pPr>
            <w:r>
              <w:rPr>
                <w:lang w:val="en-GB"/>
              </w:rPr>
              <w:t>0.05</w:t>
            </w:r>
          </w:p>
        </w:tc>
      </w:tr>
    </w:tbl>
    <w:p w14:paraId="19D6469A" w14:textId="318B8DC2" w:rsidR="00EA407C" w:rsidRDefault="008F100D" w:rsidP="00F2516C">
      <w:pPr>
        <w:pStyle w:val="Didascalia"/>
        <w:jc w:val="center"/>
        <w:rPr>
          <w:lang w:val="en-GB"/>
        </w:rPr>
      </w:pPr>
      <w:bookmarkStart w:id="0" w:name="_Ref145412340"/>
      <w:r>
        <w:t xml:space="preserve">Table </w:t>
      </w:r>
      <w:r>
        <w:fldChar w:fldCharType="begin"/>
      </w:r>
      <w:r>
        <w:instrText xml:space="preserve"> SEQ Table \* ARABIC </w:instrText>
      </w:r>
      <w:r>
        <w:fldChar w:fldCharType="separate"/>
      </w:r>
      <w:r w:rsidR="00D12E3A">
        <w:rPr>
          <w:noProof/>
        </w:rPr>
        <w:t>1</w:t>
      </w:r>
      <w:r>
        <w:rPr>
          <w:noProof/>
        </w:rPr>
        <w:fldChar w:fldCharType="end"/>
      </w:r>
      <w:bookmarkEnd w:id="0"/>
      <w:r>
        <w:t xml:space="preserve"> </w:t>
      </w:r>
      <w:r w:rsidR="00F2516C">
        <w:t>–</w:t>
      </w:r>
      <w:r>
        <w:t xml:space="preserve"> </w:t>
      </w:r>
      <w:r w:rsidR="00F2516C">
        <w:t>Turbomachine data</w:t>
      </w:r>
      <w:r w:rsidR="006F7E1E">
        <w:t>. The compressor’s data refer only to a single compressor</w:t>
      </w:r>
      <w:r w:rsidR="003F6EAF">
        <w:t xml:space="preserve"> since the two are identical</w:t>
      </w:r>
    </w:p>
    <w:p w14:paraId="1C3C8702" w14:textId="111D856E" w:rsidR="0070087A" w:rsidRDefault="003B0751" w:rsidP="00AA4744">
      <w:pPr>
        <w:pStyle w:val="Corpodeltesto2"/>
        <w:rPr>
          <w:lang w:val="en-GB"/>
        </w:rPr>
      </w:pPr>
      <w:r w:rsidRPr="00CA72C9">
        <w:rPr>
          <w:lang w:val="en-GB"/>
        </w:rPr>
        <w:t xml:space="preserve">Once the test rig's operating conditions and components are </w:t>
      </w:r>
      <w:r w:rsidR="00D94331">
        <w:rPr>
          <w:lang w:val="en-GB"/>
        </w:rPr>
        <w:t>selected</w:t>
      </w:r>
      <w:r w:rsidR="008A6436">
        <w:rPr>
          <w:lang w:val="en-GB"/>
        </w:rPr>
        <w:t xml:space="preserve"> (</w:t>
      </w:r>
      <w:r w:rsidR="0012111E">
        <w:rPr>
          <w:lang w:val="en-GB"/>
        </w:rPr>
        <w:t>see</w:t>
      </w:r>
      <w:r w:rsidR="00E31A1F">
        <w:rPr>
          <w:lang w:val="en-GB"/>
        </w:rPr>
        <w:t xml:space="preserve"> </w:t>
      </w:r>
      <w:r w:rsidR="00EE585E" w:rsidRPr="00FE3570">
        <w:rPr>
          <w:lang w:val="en-GB"/>
        </w:rPr>
        <w:fldChar w:fldCharType="begin"/>
      </w:r>
      <w:r w:rsidR="00EE585E" w:rsidRPr="00FE3570">
        <w:rPr>
          <w:lang w:val="en-GB"/>
        </w:rPr>
        <w:instrText xml:space="preserve"> REF _Ref145426227 \h </w:instrText>
      </w:r>
      <w:r w:rsidR="00FE3570" w:rsidRPr="00FE3570">
        <w:rPr>
          <w:lang w:val="en-GB"/>
        </w:rPr>
        <w:instrText xml:space="preserve"> \* MERGEFORMAT </w:instrText>
      </w:r>
      <w:r w:rsidR="00EE585E" w:rsidRPr="00FE3570">
        <w:rPr>
          <w:lang w:val="en-GB"/>
        </w:rPr>
      </w:r>
      <w:r w:rsidR="00EE585E" w:rsidRPr="00FE3570">
        <w:rPr>
          <w:lang w:val="en-GB"/>
        </w:rPr>
        <w:fldChar w:fldCharType="separate"/>
      </w:r>
      <w:r w:rsidR="00D12E3A" w:rsidRPr="00D12E3A">
        <w:rPr>
          <w:lang w:val="en-GB"/>
        </w:rPr>
        <w:t>Figure 1</w:t>
      </w:r>
      <w:r w:rsidR="00EE585E" w:rsidRPr="00FE3570">
        <w:rPr>
          <w:lang w:val="en-GB"/>
        </w:rPr>
        <w:fldChar w:fldCharType="end"/>
      </w:r>
      <w:r w:rsidR="008A6436">
        <w:rPr>
          <w:lang w:val="en-GB"/>
        </w:rPr>
        <w:t>)</w:t>
      </w:r>
      <w:r w:rsidRPr="00CA72C9">
        <w:rPr>
          <w:lang w:val="en-GB"/>
        </w:rPr>
        <w:t>, the paper focuses on the coolant system design, which is needed to dissipate the heat pump's output but also to cool the auxiliary components, such as the lubricant oil for the compressors and the compressors' inverters. A closed-loop c</w:t>
      </w:r>
      <w:r w:rsidR="00A631C6">
        <w:rPr>
          <w:lang w:val="en-GB"/>
        </w:rPr>
        <w:t>oolant liquid circuit</w:t>
      </w:r>
      <w:r w:rsidRPr="00CA72C9">
        <w:rPr>
          <w:lang w:val="en-GB"/>
        </w:rPr>
        <w:t xml:space="preserve"> is proposed to simplify the test rig, </w:t>
      </w:r>
      <w:r w:rsidR="00D35601">
        <w:rPr>
          <w:lang w:val="en-GB"/>
        </w:rPr>
        <w:t>simultaneously operating all heat exchangers and dissipating</w:t>
      </w:r>
      <w:r w:rsidRPr="00CA72C9">
        <w:rPr>
          <w:lang w:val="en-GB"/>
        </w:rPr>
        <w:t xml:space="preserve"> excess heat into the environment. Seven heat exchangers are connected in parallel to the collectors, with five increasing the coolant temperature and two reducing it.</w:t>
      </w:r>
      <w:r w:rsidR="00AA4744">
        <w:rPr>
          <w:lang w:val="en-GB"/>
        </w:rPr>
        <w:t xml:space="preserve"> </w:t>
      </w:r>
      <w:r w:rsidR="0070087A">
        <w:rPr>
          <w:lang w:val="en-GB"/>
        </w:rPr>
        <w:t xml:space="preserve">The </w:t>
      </w:r>
      <w:r w:rsidR="00AA4744">
        <w:rPr>
          <w:lang w:val="en-GB"/>
        </w:rPr>
        <w:t>heat exchangers</w:t>
      </w:r>
      <w:r w:rsidR="007C3D29">
        <w:rPr>
          <w:lang w:val="en-GB"/>
        </w:rPr>
        <w:t>'</w:t>
      </w:r>
      <w:r w:rsidR="00AA4744">
        <w:rPr>
          <w:lang w:val="en-GB"/>
        </w:rPr>
        <w:t xml:space="preserve"> capacity is reported in </w:t>
      </w:r>
      <w:r w:rsidR="00AA4744">
        <w:rPr>
          <w:lang w:val="en-GB"/>
        </w:rPr>
        <w:fldChar w:fldCharType="begin"/>
      </w:r>
      <w:r w:rsidR="00AA4744">
        <w:rPr>
          <w:lang w:val="en-GB"/>
        </w:rPr>
        <w:instrText xml:space="preserve"> REF _Ref145412577 \h </w:instrText>
      </w:r>
      <w:r w:rsidR="00AA4744">
        <w:rPr>
          <w:lang w:val="en-GB"/>
        </w:rPr>
      </w:r>
      <w:r w:rsidR="00AA4744">
        <w:rPr>
          <w:lang w:val="en-GB"/>
        </w:rPr>
        <w:fldChar w:fldCharType="separate"/>
      </w:r>
      <w:r w:rsidR="00D12E3A">
        <w:t xml:space="preserve">Table </w:t>
      </w:r>
      <w:r w:rsidR="00D12E3A">
        <w:rPr>
          <w:noProof/>
        </w:rPr>
        <w:t>2</w:t>
      </w:r>
      <w:r w:rsidR="00AA4744">
        <w:rPr>
          <w:lang w:val="en-GB"/>
        </w:rPr>
        <w:fldChar w:fldCharType="end"/>
      </w:r>
      <w:r w:rsidR="00AA4744">
        <w:rPr>
          <w:lang w:val="en-GB"/>
        </w:rPr>
        <w:t>.</w:t>
      </w:r>
    </w:p>
    <w:p w14:paraId="3D647D2F" w14:textId="77777777" w:rsidR="00AA4744" w:rsidRPr="00452749" w:rsidRDefault="00AA4744" w:rsidP="00AA4744">
      <w:pPr>
        <w:pStyle w:val="Corpodeltesto2"/>
        <w:rPr>
          <w:lang w:val="en-GB"/>
        </w:rPr>
      </w:pPr>
    </w:p>
    <w:tbl>
      <w:tblPr>
        <w:tblStyle w:val="Grigliatabella"/>
        <w:tblW w:w="0" w:type="auto"/>
        <w:jc w:val="center"/>
        <w:tblLook w:val="04A0" w:firstRow="1" w:lastRow="0" w:firstColumn="1" w:lastColumn="0" w:noHBand="0" w:noVBand="1"/>
      </w:tblPr>
      <w:tblGrid>
        <w:gridCol w:w="1301"/>
        <w:gridCol w:w="773"/>
        <w:gridCol w:w="766"/>
      </w:tblGrid>
      <w:tr w:rsidR="00D408B7" w:rsidRPr="00755AFB" w14:paraId="1447521F" w14:textId="77777777" w:rsidTr="00CE1142">
        <w:trPr>
          <w:jc w:val="center"/>
        </w:trPr>
        <w:tc>
          <w:tcPr>
            <w:tcW w:w="0" w:type="auto"/>
            <w:tcBorders>
              <w:top w:val="nil"/>
              <w:left w:val="nil"/>
              <w:right w:val="single" w:sz="12" w:space="0" w:color="auto"/>
            </w:tcBorders>
            <w:vAlign w:val="center"/>
          </w:tcPr>
          <w:p w14:paraId="30569C72" w14:textId="77777777" w:rsidR="00D408B7" w:rsidRPr="00726E38" w:rsidRDefault="00D408B7" w:rsidP="00CD3920">
            <w:pPr>
              <w:pStyle w:val="Corpodeltesto2"/>
              <w:ind w:firstLine="0"/>
              <w:jc w:val="center"/>
              <w:rPr>
                <w:lang w:val="en-GB"/>
              </w:rPr>
            </w:pPr>
          </w:p>
        </w:tc>
        <w:tc>
          <w:tcPr>
            <w:tcW w:w="773" w:type="dxa"/>
            <w:tcBorders>
              <w:top w:val="single" w:sz="12" w:space="0" w:color="auto"/>
              <w:left w:val="single" w:sz="12" w:space="0" w:color="auto"/>
              <w:bottom w:val="single" w:sz="12" w:space="0" w:color="auto"/>
              <w:right w:val="single" w:sz="12" w:space="0" w:color="auto"/>
            </w:tcBorders>
            <w:vAlign w:val="center"/>
          </w:tcPr>
          <w:p w14:paraId="05BC8F7E" w14:textId="6A0EB0C5" w:rsidR="00D408B7" w:rsidRPr="00726E38" w:rsidRDefault="00723710" w:rsidP="004E34BA">
            <w:pPr>
              <w:pStyle w:val="Corpodeltesto2"/>
              <w:spacing w:before="60" w:after="60"/>
              <w:ind w:firstLine="0"/>
              <w:jc w:val="center"/>
              <w:rPr>
                <w:b/>
                <w:bCs/>
                <w:lang w:val="en-GB"/>
              </w:rPr>
            </w:pPr>
            <w:r>
              <w:rPr>
                <w:b/>
                <w:bCs/>
                <w:lang w:val="en-GB"/>
              </w:rPr>
              <w:t>Heat</w:t>
            </w:r>
            <w:r w:rsidR="00BE1667">
              <w:rPr>
                <w:b/>
                <w:bCs/>
                <w:lang w:val="en-GB"/>
              </w:rPr>
              <w:t xml:space="preserve"> </w:t>
            </w:r>
            <w:r w:rsidR="00BE1667" w:rsidRPr="004E34BA">
              <w:rPr>
                <w:lang w:val="en-GB"/>
              </w:rPr>
              <w:t>[kW]</w:t>
            </w:r>
          </w:p>
        </w:tc>
        <w:tc>
          <w:tcPr>
            <w:tcW w:w="766" w:type="dxa"/>
            <w:tcBorders>
              <w:top w:val="single" w:sz="12" w:space="0" w:color="auto"/>
              <w:left w:val="single" w:sz="12" w:space="0" w:color="auto"/>
              <w:bottom w:val="single" w:sz="12" w:space="0" w:color="auto"/>
              <w:right w:val="single" w:sz="12" w:space="0" w:color="auto"/>
            </w:tcBorders>
            <w:vAlign w:val="center"/>
          </w:tcPr>
          <w:p w14:paraId="4F7263DE" w14:textId="616AB8A2" w:rsidR="00D408B7" w:rsidRPr="00726E38" w:rsidRDefault="0092561C" w:rsidP="004E34BA">
            <w:pPr>
              <w:pStyle w:val="Corpodeltesto2"/>
              <w:spacing w:before="60" w:after="60"/>
              <w:ind w:firstLine="0"/>
              <w:jc w:val="center"/>
              <w:rPr>
                <w:b/>
                <w:bCs/>
                <w:lang w:val="en-GB"/>
              </w:rPr>
            </w:pPr>
            <w:r>
              <w:rPr>
                <w:b/>
                <w:bCs/>
                <w:lang w:val="en-GB"/>
              </w:rPr>
              <w:t>UA</w:t>
            </w:r>
            <w:r w:rsidR="00BE1667">
              <w:rPr>
                <w:b/>
                <w:bCs/>
                <w:lang w:val="en-GB"/>
              </w:rPr>
              <w:t xml:space="preserve"> </w:t>
            </w:r>
            <w:r w:rsidR="00BE1667" w:rsidRPr="004E34BA">
              <w:rPr>
                <w:lang w:val="en-GB"/>
              </w:rPr>
              <w:t>[</w:t>
            </w:r>
            <w:r>
              <w:rPr>
                <w:lang w:val="en-GB"/>
              </w:rPr>
              <w:t>W/K</w:t>
            </w:r>
            <w:r w:rsidR="00BE1667" w:rsidRPr="004E34BA">
              <w:rPr>
                <w:lang w:val="en-GB"/>
              </w:rPr>
              <w:t>]</w:t>
            </w:r>
          </w:p>
        </w:tc>
      </w:tr>
      <w:tr w:rsidR="00D408B7" w:rsidRPr="00755AFB" w14:paraId="45E98D01" w14:textId="77777777" w:rsidTr="00CE1142">
        <w:trPr>
          <w:jc w:val="center"/>
        </w:trPr>
        <w:tc>
          <w:tcPr>
            <w:tcW w:w="0" w:type="auto"/>
            <w:tcBorders>
              <w:top w:val="single" w:sz="12" w:space="0" w:color="auto"/>
              <w:left w:val="single" w:sz="12" w:space="0" w:color="auto"/>
              <w:right w:val="single" w:sz="12" w:space="0" w:color="auto"/>
            </w:tcBorders>
            <w:vAlign w:val="center"/>
          </w:tcPr>
          <w:p w14:paraId="6484E440" w14:textId="77777777" w:rsidR="00D408B7" w:rsidRPr="00726E38" w:rsidRDefault="00D408B7" w:rsidP="00755AFB">
            <w:pPr>
              <w:pStyle w:val="Corpodeltesto2"/>
              <w:ind w:firstLine="18"/>
              <w:jc w:val="center"/>
              <w:rPr>
                <w:b/>
                <w:bCs/>
                <w:lang w:val="en-GB"/>
              </w:rPr>
            </w:pPr>
            <w:r w:rsidRPr="00726E38">
              <w:rPr>
                <w:b/>
                <w:bCs/>
                <w:lang w:val="en-GB"/>
              </w:rPr>
              <w:t>Heater</w:t>
            </w:r>
          </w:p>
        </w:tc>
        <w:tc>
          <w:tcPr>
            <w:tcW w:w="773" w:type="dxa"/>
            <w:tcBorders>
              <w:top w:val="single" w:sz="12" w:space="0" w:color="auto"/>
              <w:left w:val="single" w:sz="12" w:space="0" w:color="auto"/>
            </w:tcBorders>
            <w:vAlign w:val="center"/>
          </w:tcPr>
          <w:p w14:paraId="59356A7A" w14:textId="77777777" w:rsidR="00D408B7" w:rsidRPr="00726E38" w:rsidRDefault="00D408B7" w:rsidP="00755AFB">
            <w:pPr>
              <w:pStyle w:val="Corpodeltesto2"/>
              <w:ind w:firstLine="0"/>
              <w:jc w:val="center"/>
              <w:rPr>
                <w:lang w:val="en-GB"/>
              </w:rPr>
            </w:pPr>
            <w:r w:rsidRPr="00726E38">
              <w:rPr>
                <w:lang w:val="en-GB"/>
              </w:rPr>
              <w:t>2.51</w:t>
            </w:r>
          </w:p>
        </w:tc>
        <w:tc>
          <w:tcPr>
            <w:tcW w:w="766" w:type="dxa"/>
            <w:tcBorders>
              <w:top w:val="single" w:sz="12" w:space="0" w:color="auto"/>
              <w:right w:val="single" w:sz="12" w:space="0" w:color="auto"/>
            </w:tcBorders>
            <w:vAlign w:val="center"/>
          </w:tcPr>
          <w:p w14:paraId="7E60399C" w14:textId="2B565F26" w:rsidR="00D408B7" w:rsidRPr="00726E38" w:rsidRDefault="0092561C" w:rsidP="00755AFB">
            <w:pPr>
              <w:pStyle w:val="Corpodeltesto2"/>
              <w:ind w:firstLine="0"/>
              <w:jc w:val="center"/>
              <w:rPr>
                <w:lang w:val="en-GB"/>
              </w:rPr>
            </w:pPr>
            <w:r>
              <w:rPr>
                <w:lang w:val="en-GB"/>
              </w:rPr>
              <w:t>77.7</w:t>
            </w:r>
          </w:p>
        </w:tc>
      </w:tr>
      <w:tr w:rsidR="00D408B7" w:rsidRPr="00755AFB" w14:paraId="167EA683" w14:textId="77777777" w:rsidTr="00CE1142">
        <w:trPr>
          <w:jc w:val="center"/>
        </w:trPr>
        <w:tc>
          <w:tcPr>
            <w:tcW w:w="0" w:type="auto"/>
            <w:tcBorders>
              <w:left w:val="single" w:sz="12" w:space="0" w:color="auto"/>
              <w:right w:val="single" w:sz="12" w:space="0" w:color="auto"/>
            </w:tcBorders>
            <w:vAlign w:val="center"/>
          </w:tcPr>
          <w:p w14:paraId="2BD34A23" w14:textId="77777777" w:rsidR="00D408B7" w:rsidRPr="00726E38" w:rsidRDefault="00D408B7" w:rsidP="00755AFB">
            <w:pPr>
              <w:pStyle w:val="Corpodeltesto2"/>
              <w:ind w:firstLine="18"/>
              <w:jc w:val="center"/>
              <w:rPr>
                <w:b/>
                <w:bCs/>
                <w:lang w:val="en-GB"/>
              </w:rPr>
            </w:pPr>
            <w:r w:rsidRPr="00726E38">
              <w:rPr>
                <w:b/>
                <w:bCs/>
                <w:lang w:val="en-GB"/>
              </w:rPr>
              <w:t>Cooler</w:t>
            </w:r>
          </w:p>
        </w:tc>
        <w:tc>
          <w:tcPr>
            <w:tcW w:w="773" w:type="dxa"/>
            <w:tcBorders>
              <w:left w:val="single" w:sz="12" w:space="0" w:color="auto"/>
            </w:tcBorders>
            <w:vAlign w:val="center"/>
          </w:tcPr>
          <w:p w14:paraId="63CFF455" w14:textId="1BF51F15" w:rsidR="00D408B7" w:rsidRPr="00726E38" w:rsidRDefault="00D408B7" w:rsidP="00755AFB">
            <w:pPr>
              <w:pStyle w:val="Corpodeltesto2"/>
              <w:ind w:firstLine="0"/>
              <w:jc w:val="center"/>
              <w:rPr>
                <w:lang w:val="en-GB"/>
              </w:rPr>
            </w:pPr>
            <w:r w:rsidRPr="00726E38">
              <w:rPr>
                <w:lang w:val="en-GB"/>
              </w:rPr>
              <w:t>8.</w:t>
            </w:r>
            <w:r w:rsidR="0042624B">
              <w:rPr>
                <w:lang w:val="en-GB"/>
              </w:rPr>
              <w:t>93</w:t>
            </w:r>
          </w:p>
        </w:tc>
        <w:tc>
          <w:tcPr>
            <w:tcW w:w="766" w:type="dxa"/>
            <w:tcBorders>
              <w:right w:val="single" w:sz="12" w:space="0" w:color="auto"/>
            </w:tcBorders>
            <w:vAlign w:val="center"/>
          </w:tcPr>
          <w:p w14:paraId="6243813B" w14:textId="7C2B2DF6" w:rsidR="00D408B7" w:rsidRPr="00726E38" w:rsidRDefault="0092561C" w:rsidP="00755AFB">
            <w:pPr>
              <w:pStyle w:val="Corpodeltesto2"/>
              <w:ind w:firstLine="0"/>
              <w:jc w:val="center"/>
              <w:rPr>
                <w:lang w:val="en-GB"/>
              </w:rPr>
            </w:pPr>
            <w:r>
              <w:rPr>
                <w:lang w:val="en-GB"/>
              </w:rPr>
              <w:t>213.0</w:t>
            </w:r>
          </w:p>
        </w:tc>
      </w:tr>
      <w:tr w:rsidR="00D408B7" w:rsidRPr="00755AFB" w14:paraId="1B95A8EC" w14:textId="77777777" w:rsidTr="00CE1142">
        <w:trPr>
          <w:jc w:val="center"/>
        </w:trPr>
        <w:tc>
          <w:tcPr>
            <w:tcW w:w="0" w:type="auto"/>
            <w:tcBorders>
              <w:left w:val="single" w:sz="12" w:space="0" w:color="auto"/>
              <w:right w:val="single" w:sz="12" w:space="0" w:color="auto"/>
            </w:tcBorders>
            <w:vAlign w:val="center"/>
          </w:tcPr>
          <w:p w14:paraId="13C6B08E" w14:textId="0FDC9F3C" w:rsidR="00D408B7" w:rsidRPr="00726E38" w:rsidRDefault="00D408B7" w:rsidP="00755AFB">
            <w:pPr>
              <w:pStyle w:val="Corpodeltesto2"/>
              <w:ind w:firstLine="18"/>
              <w:jc w:val="center"/>
              <w:rPr>
                <w:b/>
                <w:bCs/>
                <w:lang w:val="en-GB"/>
              </w:rPr>
            </w:pPr>
            <w:r w:rsidRPr="00726E38">
              <w:rPr>
                <w:b/>
                <w:bCs/>
                <w:lang w:val="en-GB"/>
              </w:rPr>
              <w:t>R</w:t>
            </w:r>
            <w:r w:rsidRPr="00755AFB">
              <w:rPr>
                <w:b/>
                <w:bCs/>
                <w:lang w:val="en-GB"/>
              </w:rPr>
              <w:t>e</w:t>
            </w:r>
            <w:r w:rsidRPr="00726E38">
              <w:rPr>
                <w:b/>
                <w:bCs/>
                <w:lang w:val="en-GB"/>
              </w:rPr>
              <w:t>generator</w:t>
            </w:r>
          </w:p>
        </w:tc>
        <w:tc>
          <w:tcPr>
            <w:tcW w:w="773" w:type="dxa"/>
            <w:tcBorders>
              <w:left w:val="single" w:sz="12" w:space="0" w:color="auto"/>
            </w:tcBorders>
            <w:vAlign w:val="center"/>
          </w:tcPr>
          <w:p w14:paraId="486FFD92" w14:textId="6D9E41D6" w:rsidR="00D408B7" w:rsidRPr="00726E38" w:rsidRDefault="00D408B7" w:rsidP="00755AFB">
            <w:pPr>
              <w:pStyle w:val="Corpodeltesto2"/>
              <w:ind w:firstLine="0"/>
              <w:jc w:val="center"/>
              <w:rPr>
                <w:lang w:val="en-GB"/>
              </w:rPr>
            </w:pPr>
            <w:r w:rsidRPr="00726E38">
              <w:rPr>
                <w:lang w:val="en-GB"/>
              </w:rPr>
              <w:t>2.6</w:t>
            </w:r>
            <w:r w:rsidR="00CE1142">
              <w:rPr>
                <w:lang w:val="en-GB"/>
              </w:rPr>
              <w:t>3</w:t>
            </w:r>
          </w:p>
        </w:tc>
        <w:tc>
          <w:tcPr>
            <w:tcW w:w="766" w:type="dxa"/>
            <w:tcBorders>
              <w:right w:val="single" w:sz="12" w:space="0" w:color="auto"/>
            </w:tcBorders>
            <w:vAlign w:val="center"/>
          </w:tcPr>
          <w:p w14:paraId="4D25C094" w14:textId="7AC575A8" w:rsidR="00D408B7" w:rsidRPr="00726E38" w:rsidRDefault="0092561C" w:rsidP="00755AFB">
            <w:pPr>
              <w:pStyle w:val="Corpodeltesto2"/>
              <w:ind w:firstLine="0"/>
              <w:jc w:val="center"/>
              <w:rPr>
                <w:lang w:val="en-GB"/>
              </w:rPr>
            </w:pPr>
            <w:r>
              <w:rPr>
                <w:lang w:val="en-GB"/>
              </w:rPr>
              <w:t>146.4</w:t>
            </w:r>
          </w:p>
        </w:tc>
      </w:tr>
      <w:tr w:rsidR="00D408B7" w:rsidRPr="00755AFB" w14:paraId="18CB49EF" w14:textId="77777777" w:rsidTr="00CE1142">
        <w:trPr>
          <w:jc w:val="center"/>
        </w:trPr>
        <w:tc>
          <w:tcPr>
            <w:tcW w:w="0" w:type="auto"/>
            <w:tcBorders>
              <w:left w:val="single" w:sz="12" w:space="0" w:color="auto"/>
              <w:bottom w:val="single" w:sz="12" w:space="0" w:color="auto"/>
              <w:right w:val="single" w:sz="12" w:space="0" w:color="auto"/>
            </w:tcBorders>
            <w:vAlign w:val="center"/>
          </w:tcPr>
          <w:p w14:paraId="4C1E2A6E" w14:textId="1DD56D9B" w:rsidR="00D408B7" w:rsidRPr="00726E38" w:rsidRDefault="00D408B7" w:rsidP="00755AFB">
            <w:pPr>
              <w:pStyle w:val="Corpodeltesto2"/>
              <w:ind w:firstLine="18"/>
              <w:jc w:val="center"/>
              <w:rPr>
                <w:b/>
                <w:bCs/>
                <w:lang w:val="en-GB"/>
              </w:rPr>
            </w:pPr>
            <w:r w:rsidRPr="00726E38">
              <w:rPr>
                <w:b/>
                <w:bCs/>
                <w:lang w:val="en-GB"/>
              </w:rPr>
              <w:t>Radiator</w:t>
            </w:r>
          </w:p>
        </w:tc>
        <w:tc>
          <w:tcPr>
            <w:tcW w:w="773" w:type="dxa"/>
            <w:tcBorders>
              <w:left w:val="single" w:sz="12" w:space="0" w:color="auto"/>
              <w:bottom w:val="single" w:sz="12" w:space="0" w:color="auto"/>
            </w:tcBorders>
            <w:vAlign w:val="center"/>
          </w:tcPr>
          <w:p w14:paraId="3C4E9F85" w14:textId="73FAAD69" w:rsidR="00D408B7" w:rsidRPr="00726E38" w:rsidRDefault="00D408B7" w:rsidP="00755AFB">
            <w:pPr>
              <w:pStyle w:val="Corpodeltesto2"/>
              <w:ind w:firstLine="0"/>
              <w:jc w:val="center"/>
              <w:rPr>
                <w:lang w:val="en-GB"/>
              </w:rPr>
            </w:pPr>
            <w:r w:rsidRPr="00726E38">
              <w:rPr>
                <w:lang w:val="en-GB"/>
              </w:rPr>
              <w:t>43.</w:t>
            </w:r>
            <w:r w:rsidR="00CE1142">
              <w:rPr>
                <w:lang w:val="en-GB"/>
              </w:rPr>
              <w:t>5</w:t>
            </w:r>
          </w:p>
        </w:tc>
        <w:tc>
          <w:tcPr>
            <w:tcW w:w="766" w:type="dxa"/>
            <w:tcBorders>
              <w:bottom w:val="single" w:sz="12" w:space="0" w:color="auto"/>
              <w:right w:val="single" w:sz="12" w:space="0" w:color="auto"/>
            </w:tcBorders>
            <w:vAlign w:val="center"/>
          </w:tcPr>
          <w:p w14:paraId="4513F54E" w14:textId="0E690438" w:rsidR="00D408B7" w:rsidRPr="00726E38" w:rsidRDefault="00CE1142" w:rsidP="0010402B">
            <w:pPr>
              <w:pStyle w:val="Corpodeltesto2"/>
              <w:keepNext/>
              <w:ind w:firstLine="0"/>
              <w:jc w:val="center"/>
              <w:rPr>
                <w:lang w:val="en-GB"/>
              </w:rPr>
            </w:pPr>
            <w:r>
              <w:rPr>
                <w:lang w:val="en-GB"/>
              </w:rPr>
              <w:t>2364.0</w:t>
            </w:r>
          </w:p>
        </w:tc>
      </w:tr>
    </w:tbl>
    <w:p w14:paraId="5BF56C33" w14:textId="0842954B" w:rsidR="007D469E" w:rsidRPr="00452749" w:rsidRDefault="0010402B" w:rsidP="00955E58">
      <w:pPr>
        <w:pStyle w:val="Didascalia"/>
        <w:jc w:val="center"/>
        <w:rPr>
          <w:lang w:val="en-GB"/>
        </w:rPr>
      </w:pPr>
      <w:bookmarkStart w:id="1" w:name="_Ref145412577"/>
      <w:r>
        <w:t xml:space="preserve">Table </w:t>
      </w:r>
      <w:r>
        <w:fldChar w:fldCharType="begin"/>
      </w:r>
      <w:r>
        <w:instrText xml:space="preserve"> SEQ Table \* ARABIC </w:instrText>
      </w:r>
      <w:r>
        <w:fldChar w:fldCharType="separate"/>
      </w:r>
      <w:r w:rsidR="00D12E3A">
        <w:rPr>
          <w:noProof/>
        </w:rPr>
        <w:t>2</w:t>
      </w:r>
      <w:r>
        <w:rPr>
          <w:noProof/>
        </w:rPr>
        <w:fldChar w:fldCharType="end"/>
      </w:r>
      <w:bookmarkEnd w:id="1"/>
      <w:r>
        <w:t xml:space="preserve"> </w:t>
      </w:r>
      <w:r w:rsidR="00955E58">
        <w:t>–</w:t>
      </w:r>
      <w:r>
        <w:t xml:space="preserve"> </w:t>
      </w:r>
      <w:r w:rsidR="00955E58">
        <w:t>Heat exchangers data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9"/>
      </w:tblGrid>
      <w:tr w:rsidR="008218FB" w:rsidRPr="00452749" w14:paraId="0977DB9A" w14:textId="77777777" w:rsidTr="008218FB">
        <w:trPr>
          <w:jc w:val="center"/>
        </w:trPr>
        <w:tc>
          <w:tcPr>
            <w:tcW w:w="9019" w:type="dxa"/>
            <w:shd w:val="clear" w:color="auto" w:fill="auto"/>
          </w:tcPr>
          <w:p w14:paraId="0AB98033" w14:textId="5967455A" w:rsidR="008218FB" w:rsidRPr="008218FB" w:rsidRDefault="008218FB" w:rsidP="00AF2F1A">
            <w:pPr>
              <w:pStyle w:val="Corpodeltesto2"/>
              <w:keepNext/>
              <w:ind w:firstLine="0"/>
              <w:jc w:val="center"/>
              <w:rPr>
                <w:b/>
                <w:bCs/>
                <w:noProof/>
                <w:lang w:val="en-GB"/>
              </w:rPr>
            </w:pPr>
            <w:r w:rsidRPr="008218FB">
              <w:rPr>
                <w:b/>
                <w:bCs/>
                <w:noProof/>
                <w:lang w:val="en-GB"/>
              </w:rPr>
              <w:lastRenderedPageBreak/>
              <w:t>(a)</w:t>
            </w:r>
          </w:p>
        </w:tc>
      </w:tr>
      <w:tr w:rsidR="007D469E" w:rsidRPr="00452749" w14:paraId="00A388D8" w14:textId="77777777" w:rsidTr="008218FB">
        <w:trPr>
          <w:jc w:val="center"/>
        </w:trPr>
        <w:tc>
          <w:tcPr>
            <w:tcW w:w="9019" w:type="dxa"/>
            <w:shd w:val="clear" w:color="auto" w:fill="auto"/>
          </w:tcPr>
          <w:p w14:paraId="17C52184" w14:textId="442B0402" w:rsidR="007D469E" w:rsidRPr="00452749" w:rsidRDefault="00AA1296" w:rsidP="00AF2F1A">
            <w:pPr>
              <w:pStyle w:val="Corpodeltesto2"/>
              <w:keepNext/>
              <w:ind w:firstLine="0"/>
              <w:jc w:val="center"/>
              <w:rPr>
                <w:lang w:val="en-GB"/>
              </w:rPr>
            </w:pPr>
            <w:r>
              <w:rPr>
                <w:noProof/>
                <w:lang w:val="en-GB"/>
              </w:rPr>
              <w:drawing>
                <wp:inline distT="0" distB="0" distL="0" distR="0" wp14:anchorId="23C0985E" wp14:editId="7419BCAF">
                  <wp:extent cx="4729692" cy="2614052"/>
                  <wp:effectExtent l="0" t="0" r="0" b="0"/>
                  <wp:docPr id="1372375568" name="Picture 1372375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375568" name="Picture 1372375568"/>
                          <pic:cNvPicPr/>
                        </pic:nvPicPr>
                        <pic:blipFill>
                          <a:blip r:embed="rId12"/>
                          <a:stretch>
                            <a:fillRect/>
                          </a:stretch>
                        </pic:blipFill>
                        <pic:spPr>
                          <a:xfrm>
                            <a:off x="0" y="0"/>
                            <a:ext cx="4729692" cy="2614052"/>
                          </a:xfrm>
                          <a:prstGeom prst="rect">
                            <a:avLst/>
                          </a:prstGeom>
                        </pic:spPr>
                      </pic:pic>
                    </a:graphicData>
                  </a:graphic>
                </wp:inline>
              </w:drawing>
            </w:r>
          </w:p>
        </w:tc>
      </w:tr>
      <w:tr w:rsidR="008218FB" w:rsidRPr="00452749" w14:paraId="30E4BBFC" w14:textId="77777777" w:rsidTr="008218FB">
        <w:trPr>
          <w:jc w:val="center"/>
        </w:trPr>
        <w:tc>
          <w:tcPr>
            <w:tcW w:w="9019" w:type="dxa"/>
            <w:shd w:val="clear" w:color="auto" w:fill="auto"/>
          </w:tcPr>
          <w:p w14:paraId="496E8B59" w14:textId="18BC9A23" w:rsidR="008218FB" w:rsidRPr="008218FB" w:rsidRDefault="008218FB" w:rsidP="00AF2F1A">
            <w:pPr>
              <w:pStyle w:val="Corpodeltesto2"/>
              <w:keepNext/>
              <w:ind w:firstLine="0"/>
              <w:jc w:val="center"/>
              <w:rPr>
                <w:b/>
                <w:bCs/>
                <w:noProof/>
                <w:lang w:val="en-GB"/>
              </w:rPr>
            </w:pPr>
            <w:r w:rsidRPr="008218FB">
              <w:rPr>
                <w:b/>
                <w:bCs/>
                <w:noProof/>
                <w:lang w:val="en-GB"/>
              </w:rPr>
              <w:t>(b)</w:t>
            </w:r>
          </w:p>
        </w:tc>
      </w:tr>
      <w:tr w:rsidR="008218FB" w:rsidRPr="00452749" w14:paraId="1070F7C3" w14:textId="77777777" w:rsidTr="008218FB">
        <w:trPr>
          <w:jc w:val="center"/>
        </w:trPr>
        <w:tc>
          <w:tcPr>
            <w:tcW w:w="9019" w:type="dxa"/>
            <w:shd w:val="clear" w:color="auto" w:fill="auto"/>
          </w:tcPr>
          <w:p w14:paraId="48CA3570" w14:textId="639F5375" w:rsidR="008218FB" w:rsidRDefault="00B43E57" w:rsidP="00AF2F1A">
            <w:pPr>
              <w:pStyle w:val="Corpodeltesto2"/>
              <w:keepNext/>
              <w:ind w:firstLine="0"/>
              <w:jc w:val="center"/>
              <w:rPr>
                <w:noProof/>
                <w:lang w:val="en-GB"/>
              </w:rPr>
            </w:pPr>
            <w:r>
              <w:rPr>
                <w:noProof/>
                <w:lang w:val="en-GB"/>
              </w:rPr>
              <w:drawing>
                <wp:inline distT="0" distB="0" distL="0" distR="0" wp14:anchorId="72519C4C" wp14:editId="30FBA746">
                  <wp:extent cx="5733415" cy="3849370"/>
                  <wp:effectExtent l="0" t="0" r="635" b="0"/>
                  <wp:docPr id="744557502" name="Picture 1" descr="Immagine che contiene schizzo, diagramma, design, illustrazi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557502" name="Picture 1" descr="Immagine che contiene schizzo, diagramma, design, illustrazione&#10;&#10;Description automatically generated"/>
                          <pic:cNvPicPr/>
                        </pic:nvPicPr>
                        <pic:blipFill>
                          <a:blip r:embed="rId13"/>
                          <a:stretch>
                            <a:fillRect/>
                          </a:stretch>
                        </pic:blipFill>
                        <pic:spPr>
                          <a:xfrm>
                            <a:off x="0" y="0"/>
                            <a:ext cx="5733415" cy="3849370"/>
                          </a:xfrm>
                          <a:prstGeom prst="rect">
                            <a:avLst/>
                          </a:prstGeom>
                        </pic:spPr>
                      </pic:pic>
                    </a:graphicData>
                  </a:graphic>
                </wp:inline>
              </w:drawing>
            </w:r>
          </w:p>
        </w:tc>
      </w:tr>
      <w:tr w:rsidR="0027277A" w:rsidRPr="00452749" w14:paraId="5C65E74C" w14:textId="77777777" w:rsidTr="008218FB">
        <w:trPr>
          <w:jc w:val="center"/>
        </w:trPr>
        <w:tc>
          <w:tcPr>
            <w:tcW w:w="9019" w:type="dxa"/>
            <w:shd w:val="clear" w:color="auto" w:fill="auto"/>
          </w:tcPr>
          <w:p w14:paraId="1CC56950" w14:textId="38908C2D" w:rsidR="0027277A" w:rsidRPr="005F2BD5" w:rsidRDefault="00EE585E" w:rsidP="00EE585E">
            <w:pPr>
              <w:pStyle w:val="Corpodeltesto2"/>
              <w:keepNext/>
              <w:ind w:firstLine="0"/>
              <w:jc w:val="center"/>
              <w:rPr>
                <w:b/>
                <w:lang w:val="en-GB"/>
              </w:rPr>
            </w:pPr>
            <w:bookmarkStart w:id="2" w:name="_Ref145426227"/>
            <w:r w:rsidRPr="00EE585E">
              <w:rPr>
                <w:b/>
                <w:lang w:val="en-GB"/>
              </w:rPr>
              <w:t xml:space="preserve">Figure </w:t>
            </w:r>
            <w:r w:rsidRPr="00EE585E">
              <w:rPr>
                <w:b/>
                <w:lang w:val="en-GB"/>
              </w:rPr>
              <w:fldChar w:fldCharType="begin"/>
            </w:r>
            <w:r w:rsidRPr="00EE585E">
              <w:rPr>
                <w:b/>
                <w:lang w:val="en-GB"/>
              </w:rPr>
              <w:instrText xml:space="preserve"> SEQ Figure \* ARABIC </w:instrText>
            </w:r>
            <w:r w:rsidRPr="00EE585E">
              <w:rPr>
                <w:b/>
                <w:lang w:val="en-GB"/>
              </w:rPr>
              <w:fldChar w:fldCharType="separate"/>
            </w:r>
            <w:r w:rsidR="00D12E3A">
              <w:rPr>
                <w:b/>
                <w:noProof/>
                <w:lang w:val="en-GB"/>
              </w:rPr>
              <w:t>1</w:t>
            </w:r>
            <w:r w:rsidRPr="00EE585E">
              <w:rPr>
                <w:b/>
                <w:lang w:val="en-GB"/>
              </w:rPr>
              <w:fldChar w:fldCharType="end"/>
            </w:r>
            <w:bookmarkEnd w:id="2"/>
            <w:r>
              <w:rPr>
                <w:b/>
                <w:lang w:val="en-GB"/>
              </w:rPr>
              <w:t>.</w:t>
            </w:r>
            <w:r w:rsidRPr="00EE585E">
              <w:rPr>
                <w:b/>
                <w:lang w:val="en-GB"/>
              </w:rPr>
              <w:t xml:space="preserve"> </w:t>
            </w:r>
            <w:r w:rsidR="00D038C6">
              <w:rPr>
                <w:b/>
                <w:lang w:val="en-GB"/>
              </w:rPr>
              <w:t xml:space="preserve">(a): </w:t>
            </w:r>
            <w:r>
              <w:rPr>
                <w:b/>
                <w:lang w:val="en-GB"/>
              </w:rPr>
              <w:t>Test rig scheme with measurement points</w:t>
            </w:r>
            <w:r w:rsidR="00D038C6">
              <w:rPr>
                <w:b/>
                <w:lang w:val="en-GB"/>
              </w:rPr>
              <w:t xml:space="preserve">; (b): Test rig </w:t>
            </w:r>
            <w:r w:rsidR="00FC5212">
              <w:rPr>
                <w:b/>
                <w:lang w:val="en-GB"/>
              </w:rPr>
              <w:t xml:space="preserve">3D </w:t>
            </w:r>
            <w:r w:rsidR="00D038C6">
              <w:rPr>
                <w:b/>
                <w:lang w:val="en-GB"/>
              </w:rPr>
              <w:t>render</w:t>
            </w:r>
            <w:r w:rsidR="00FC5212">
              <w:rPr>
                <w:b/>
                <w:lang w:val="en-GB"/>
              </w:rPr>
              <w:t>ing</w:t>
            </w:r>
            <w:r w:rsidR="00C02CB9">
              <w:rPr>
                <w:b/>
                <w:lang w:val="en-GB"/>
              </w:rPr>
              <w:t>.</w:t>
            </w:r>
          </w:p>
        </w:tc>
      </w:tr>
    </w:tbl>
    <w:p w14:paraId="589C6581" w14:textId="77777777" w:rsidR="007D469E" w:rsidRPr="00452749" w:rsidRDefault="007D469E">
      <w:pPr>
        <w:pStyle w:val="ReferencesClauseTitle"/>
        <w:rPr>
          <w:lang w:val="en-GB"/>
        </w:rPr>
      </w:pPr>
      <w:r w:rsidRPr="00452749">
        <w:rPr>
          <w:lang w:val="en-GB"/>
        </w:rPr>
        <w:t>References</w:t>
      </w:r>
    </w:p>
    <w:p w14:paraId="792AA906" w14:textId="6E0D4AEE" w:rsidR="007D1A84" w:rsidRDefault="00EF2B8C" w:rsidP="002D4BFE">
      <w:pPr>
        <w:pStyle w:val="Corpodeltesto2"/>
        <w:numPr>
          <w:ilvl w:val="0"/>
          <w:numId w:val="1"/>
        </w:numPr>
        <w:rPr>
          <w:lang w:val="en-GB"/>
        </w:rPr>
      </w:pPr>
      <w:bookmarkStart w:id="3" w:name="_Ref145327969"/>
      <w:r w:rsidRPr="00EF2B8C">
        <w:rPr>
          <w:lang w:val="en-GB"/>
        </w:rPr>
        <w:t>Arpagaus, Cordin, et al. "High Temperature Heat Pumps: Market Overview, State of the Art, Research Status, Refrigerants, and Application Potentials." Energy, vol. 152, 2018, pp. 985-1010</w:t>
      </w:r>
      <w:r w:rsidR="002D4BFE">
        <w:rPr>
          <w:lang w:val="en-GB"/>
        </w:rPr>
        <w:t>.</w:t>
      </w:r>
      <w:bookmarkEnd w:id="3"/>
    </w:p>
    <w:p w14:paraId="7F851A71" w14:textId="720BE6F3" w:rsidR="002D4BFE" w:rsidRDefault="00AB0992" w:rsidP="002D4BFE">
      <w:pPr>
        <w:pStyle w:val="Corpodeltesto2"/>
        <w:numPr>
          <w:ilvl w:val="0"/>
          <w:numId w:val="1"/>
        </w:numPr>
        <w:rPr>
          <w:lang w:val="en-GB"/>
        </w:rPr>
      </w:pPr>
      <w:bookmarkStart w:id="4" w:name="_Ref145328144"/>
      <w:r w:rsidRPr="00AB0992">
        <w:rPr>
          <w:lang w:val="en-GB"/>
        </w:rPr>
        <w:t>Zühlsdorf, B., et al. "Analysis of Technologies and Potentials for Heat Pump-based Process Heat Supply above 150 °C." Energy Conversion and Management: X, vol. 2, 2019, p. 100011.</w:t>
      </w:r>
      <w:bookmarkEnd w:id="4"/>
    </w:p>
    <w:p w14:paraId="29FC1C3F" w14:textId="28B48AC1" w:rsidR="00264F8A" w:rsidRDefault="00000000" w:rsidP="00264F8A">
      <w:pPr>
        <w:pStyle w:val="Corpodeltesto2"/>
        <w:numPr>
          <w:ilvl w:val="0"/>
          <w:numId w:val="1"/>
        </w:numPr>
        <w:rPr>
          <w:lang w:val="en-GB"/>
        </w:rPr>
      </w:pPr>
      <w:hyperlink r:id="rId14" w:history="1">
        <w:bookmarkStart w:id="5" w:name="_Ref160643271"/>
        <w:r w:rsidR="00264F8A" w:rsidRPr="00CF6D84">
          <w:rPr>
            <w:rStyle w:val="Collegamentoipertestuale"/>
            <w:lang w:val="en-GB"/>
          </w:rPr>
          <w:t>https://rotrex-fuel-cell-compressor.com/fuel-cell-compressors/</w:t>
        </w:r>
        <w:bookmarkEnd w:id="5"/>
      </w:hyperlink>
    </w:p>
    <w:p w14:paraId="2D180302" w14:textId="313BDE36" w:rsidR="00BB13ED" w:rsidRDefault="00000000" w:rsidP="00BB13ED">
      <w:pPr>
        <w:pStyle w:val="Corpodeltesto2"/>
        <w:numPr>
          <w:ilvl w:val="0"/>
          <w:numId w:val="1"/>
        </w:numPr>
        <w:rPr>
          <w:lang w:val="en-GB"/>
        </w:rPr>
      </w:pPr>
      <w:hyperlink r:id="rId15" w:history="1">
        <w:bookmarkStart w:id="6" w:name="_Ref160643281"/>
        <w:r w:rsidR="00BB13ED" w:rsidRPr="00CF6D84">
          <w:rPr>
            <w:rStyle w:val="Collegamentoipertestuale"/>
            <w:lang w:val="en-GB"/>
          </w:rPr>
          <w:t>https://www.garrettmotion.com/it/racing-and-performance/performance-catalog/turbo/garrett-boost-club-line-gbc14-200/</w:t>
        </w:r>
        <w:bookmarkEnd w:id="6"/>
      </w:hyperlink>
    </w:p>
    <w:sectPr w:rsidR="00BB13ED" w:rsidSect="00DE40B0">
      <w:footerReference w:type="default" r:id="rId16"/>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9D732" w14:textId="77777777" w:rsidR="00DE40B0" w:rsidRDefault="00DE40B0">
      <w:r>
        <w:separator/>
      </w:r>
    </w:p>
  </w:endnote>
  <w:endnote w:type="continuationSeparator" w:id="0">
    <w:p w14:paraId="63227DBD" w14:textId="77777777" w:rsidR="00DE40B0" w:rsidRDefault="00DE40B0">
      <w:r>
        <w:continuationSeparator/>
      </w:r>
    </w:p>
  </w:endnote>
  <w:endnote w:type="continuationNotice" w:id="1">
    <w:p w14:paraId="2A3B64A6" w14:textId="77777777" w:rsidR="00DE40B0" w:rsidRDefault="00DE40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FDAEB" w14:textId="79F115FD" w:rsidR="007D469E" w:rsidRDefault="007D469E" w:rsidP="00C73411">
    <w:pPr>
      <w:pStyle w:val="Pidipagina"/>
      <w:jc w:val="right"/>
    </w:pPr>
    <w:r>
      <w:rPr>
        <w:rStyle w:val="Numeropagina"/>
      </w:rPr>
      <w:fldChar w:fldCharType="begin"/>
    </w:r>
    <w:r>
      <w:rPr>
        <w:rStyle w:val="Numeropagina"/>
      </w:rPr>
      <w:instrText xml:space="preserve"> PAGE </w:instrText>
    </w:r>
    <w:r>
      <w:rPr>
        <w:rStyle w:val="Numeropagina"/>
      </w:rPr>
      <w:fldChar w:fldCharType="separate"/>
    </w:r>
    <w:r w:rsidR="00D13B06">
      <w:rPr>
        <w:rStyle w:val="Numeropagina"/>
        <w:noProof/>
      </w:rPr>
      <w:t>1</w:t>
    </w:r>
    <w:r>
      <w:rPr>
        <w:rStyle w:val="Numeropagina"/>
      </w:rPr>
      <w:fldChar w:fldCharType="end"/>
    </w:r>
    <w:r>
      <w:rPr>
        <w:rStyle w:val="Numeropagina"/>
      </w:rPr>
      <w:tab/>
    </w:r>
    <w:r>
      <w:rPr>
        <w:rStyle w:val="Numeropagina"/>
      </w:rPr>
      <w:tab/>
    </w:r>
    <w:r w:rsidR="00CC2C10" w:rsidRPr="00CC2C10">
      <w:rPr>
        <w:rStyle w:val="Numeropagina"/>
        <w:rFonts w:ascii="Arial" w:hAnsi="Arial" w:cs="Arial"/>
        <w:sz w:val="20"/>
        <w:lang w:val="en-US"/>
      </w:rPr>
      <w:t>Larnaca, Cyprus</w:t>
    </w:r>
    <w:r w:rsidR="00CC2C10" w:rsidRPr="00CC2C10">
      <w:rPr>
        <w:rStyle w:val="Numeropagina"/>
        <w:rFonts w:ascii="Arial" w:hAnsi="Arial" w:cs="Arial"/>
        <w:sz w:val="20"/>
        <w:lang w:val="en-US"/>
      </w:rPr>
      <w:tab/>
    </w:r>
    <w:r w:rsidR="00CC2C10" w:rsidRPr="00CC2C10">
      <w:rPr>
        <w:rStyle w:val="Numeropagina"/>
        <w:rFonts w:ascii="Arial" w:hAnsi="Arial" w:cs="Arial"/>
        <w:sz w:val="20"/>
        <w:lang w:val="en-US"/>
      </w:rPr>
      <w:tab/>
      <w:t>29 – 30 April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ACB9B" w14:textId="6F5A3912" w:rsidR="007D469E" w:rsidRDefault="007D469E" w:rsidP="007D1A84">
    <w:pPr>
      <w:pStyle w:val="Pidipagina"/>
      <w:jc w:val="right"/>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r>
      <w:rPr>
        <w:rStyle w:val="Numeropagina"/>
      </w:rPr>
      <w:tab/>
    </w:r>
    <w:r>
      <w:rPr>
        <w:rStyle w:val="Numeropagina"/>
      </w:rPr>
      <w:tab/>
    </w:r>
    <w:r w:rsidR="007D1A84">
      <w:rPr>
        <w:rStyle w:val="Numeropagina"/>
        <w:rFonts w:ascii="Arial" w:hAnsi="Arial" w:cs="Arial"/>
        <w:sz w:val="20"/>
        <w:lang w:val="en-US"/>
      </w:rPr>
      <w:t>Pisa, Italy</w:t>
    </w:r>
    <w:r w:rsidR="007D1A84">
      <w:rPr>
        <w:rStyle w:val="Numeropagina"/>
        <w:rFonts w:ascii="Arial" w:hAnsi="Arial" w:cs="Arial"/>
        <w:sz w:val="20"/>
      </w:rPr>
      <w:tab/>
    </w:r>
    <w:r w:rsidR="007D1A84">
      <w:rPr>
        <w:rStyle w:val="Numeropagina"/>
        <w:rFonts w:ascii="Arial" w:hAnsi="Arial" w:cs="Arial"/>
        <w:sz w:val="20"/>
      </w:rPr>
      <w:tab/>
      <w:t>28 – 30 September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A9643" w14:textId="0F36A1B2" w:rsidR="0027277A" w:rsidRDefault="0027277A" w:rsidP="007D1A84">
    <w:pPr>
      <w:pStyle w:val="Pidipagina"/>
      <w:jc w:val="right"/>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r>
      <w:rPr>
        <w:rStyle w:val="Numeropagina"/>
      </w:rPr>
      <w:tab/>
    </w:r>
    <w:r>
      <w:rPr>
        <w:rStyle w:val="Numeropagina"/>
      </w:rPr>
      <w:tab/>
    </w:r>
    <w:r w:rsidR="00F73809" w:rsidRPr="00F73809">
      <w:rPr>
        <w:rStyle w:val="Numeropagina"/>
        <w:rFonts w:ascii="Arial" w:hAnsi="Arial" w:cs="Arial"/>
        <w:sz w:val="20"/>
        <w:lang w:val="en-US"/>
      </w:rPr>
      <w:t>Larnaca, Cyprus</w:t>
    </w:r>
    <w:r w:rsidR="00F73809" w:rsidRPr="00F73809">
      <w:rPr>
        <w:rStyle w:val="Numeropagina"/>
        <w:rFonts w:ascii="Arial" w:hAnsi="Arial" w:cs="Arial"/>
        <w:sz w:val="20"/>
        <w:lang w:val="en-US"/>
      </w:rPr>
      <w:tab/>
    </w:r>
    <w:r w:rsidR="00F73809" w:rsidRPr="00F73809">
      <w:rPr>
        <w:rStyle w:val="Numeropagina"/>
        <w:rFonts w:ascii="Arial" w:hAnsi="Arial" w:cs="Arial"/>
        <w:sz w:val="20"/>
        <w:lang w:val="en-US"/>
      </w:rPr>
      <w:tab/>
      <w:t>29 – 30 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C10A7" w14:textId="77777777" w:rsidR="00DE40B0" w:rsidRDefault="00DE40B0">
      <w:r>
        <w:separator/>
      </w:r>
    </w:p>
  </w:footnote>
  <w:footnote w:type="continuationSeparator" w:id="0">
    <w:p w14:paraId="0F932425" w14:textId="77777777" w:rsidR="00DE40B0" w:rsidRDefault="00DE40B0">
      <w:r>
        <w:continuationSeparator/>
      </w:r>
    </w:p>
  </w:footnote>
  <w:footnote w:type="continuationNotice" w:id="1">
    <w:p w14:paraId="6141E5F6" w14:textId="77777777" w:rsidR="00DE40B0" w:rsidRDefault="00DE40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9B63E" w14:textId="0A85186E" w:rsidR="00D824BE" w:rsidRDefault="00D824BE" w:rsidP="007D469E">
    <w:pPr>
      <w:pStyle w:val="Intestazione"/>
      <w:jc w:val="right"/>
      <w:rPr>
        <w:rFonts w:ascii="Arial" w:hAnsi="Arial" w:cs="Arial"/>
        <w:sz w:val="20"/>
      </w:rPr>
    </w:pPr>
    <w:r w:rsidRPr="00D824BE">
      <w:rPr>
        <w:rFonts w:ascii="Arial" w:hAnsi="Arial" w:cs="Arial"/>
        <w:sz w:val="20"/>
      </w:rPr>
      <w:t>XX</w:t>
    </w:r>
    <w:r w:rsidR="003A2321">
      <w:rPr>
        <w:rFonts w:ascii="Arial" w:hAnsi="Arial" w:cs="Arial"/>
        <w:sz w:val="20"/>
      </w:rPr>
      <w:t>V</w:t>
    </w:r>
    <w:r w:rsidR="00363232">
      <w:rPr>
        <w:rFonts w:ascii="Arial" w:hAnsi="Arial" w:cs="Arial"/>
        <w:sz w:val="20"/>
      </w:rPr>
      <w:t>I</w:t>
    </w:r>
    <w:r w:rsidR="007D1A84">
      <w:rPr>
        <w:rFonts w:ascii="Arial" w:hAnsi="Arial" w:cs="Arial"/>
        <w:sz w:val="20"/>
      </w:rPr>
      <w:t>I</w:t>
    </w:r>
    <w:r w:rsidRPr="00D824BE">
      <w:rPr>
        <w:rFonts w:ascii="Arial" w:hAnsi="Arial" w:cs="Arial"/>
        <w:sz w:val="20"/>
      </w:rPr>
      <w:t xml:space="preserve"> Bi</w:t>
    </w:r>
    <w:r w:rsidR="00791559">
      <w:rPr>
        <w:rFonts w:ascii="Arial" w:hAnsi="Arial" w:cs="Arial"/>
        <w:sz w:val="20"/>
      </w:rPr>
      <w:t>e</w:t>
    </w:r>
    <w:r w:rsidRPr="00D824BE">
      <w:rPr>
        <w:rFonts w:ascii="Arial" w:hAnsi="Arial" w:cs="Arial"/>
        <w:sz w:val="20"/>
      </w:rPr>
      <w:t>nn</w:t>
    </w:r>
    <w:r w:rsidR="00791559">
      <w:rPr>
        <w:rFonts w:ascii="Arial" w:hAnsi="Arial" w:cs="Arial"/>
        <w:sz w:val="20"/>
      </w:rPr>
      <w:t>i</w:t>
    </w:r>
    <w:r w:rsidRPr="00D824BE">
      <w:rPr>
        <w:rFonts w:ascii="Arial" w:hAnsi="Arial" w:cs="Arial"/>
        <w:sz w:val="20"/>
      </w:rPr>
      <w:t>al Symposium on Measuring Techniques in Turbomachinery</w:t>
    </w:r>
  </w:p>
  <w:p w14:paraId="5E113878" w14:textId="77777777" w:rsidR="007D469E" w:rsidRDefault="007D469E" w:rsidP="007D469E">
    <w:pPr>
      <w:pStyle w:val="Intestazione"/>
      <w:jc w:val="right"/>
      <w:rPr>
        <w:rFonts w:ascii="Arial" w:hAnsi="Arial" w:cs="Arial"/>
        <w:sz w:val="20"/>
      </w:rPr>
    </w:pPr>
    <w:r>
      <w:rPr>
        <w:rFonts w:ascii="Arial" w:hAnsi="Arial" w:cs="Arial"/>
        <w:sz w:val="20"/>
      </w:rPr>
      <w:t>Transonic and Supersonic Flow in Cascades and Turbomachines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50C38" w14:textId="60D21D70" w:rsidR="007D1A84" w:rsidRDefault="007D1A84" w:rsidP="007D1A84">
    <w:pPr>
      <w:pStyle w:val="Intestazione"/>
      <w:jc w:val="right"/>
      <w:rPr>
        <w:rFonts w:ascii="Arial" w:hAnsi="Arial" w:cs="Arial"/>
        <w:sz w:val="20"/>
      </w:rPr>
    </w:pPr>
    <w:r w:rsidRPr="00D824BE">
      <w:rPr>
        <w:rFonts w:ascii="Arial" w:hAnsi="Arial" w:cs="Arial"/>
        <w:sz w:val="20"/>
      </w:rPr>
      <w:t>XX</w:t>
    </w:r>
    <w:r>
      <w:rPr>
        <w:rFonts w:ascii="Arial" w:hAnsi="Arial" w:cs="Arial"/>
        <w:sz w:val="20"/>
      </w:rPr>
      <w:t>VI</w:t>
    </w:r>
    <w:r w:rsidRPr="00D824BE">
      <w:rPr>
        <w:rFonts w:ascii="Arial" w:hAnsi="Arial" w:cs="Arial"/>
        <w:sz w:val="20"/>
      </w:rPr>
      <w:t xml:space="preserve"> Bi</w:t>
    </w:r>
    <w:r>
      <w:rPr>
        <w:rFonts w:ascii="Arial" w:hAnsi="Arial" w:cs="Arial"/>
        <w:sz w:val="20"/>
      </w:rPr>
      <w:t>e</w:t>
    </w:r>
    <w:r w:rsidRPr="00D824BE">
      <w:rPr>
        <w:rFonts w:ascii="Arial" w:hAnsi="Arial" w:cs="Arial"/>
        <w:sz w:val="20"/>
      </w:rPr>
      <w:t>nn</w:t>
    </w:r>
    <w:r>
      <w:rPr>
        <w:rFonts w:ascii="Arial" w:hAnsi="Arial" w:cs="Arial"/>
        <w:sz w:val="20"/>
      </w:rPr>
      <w:t>i</w:t>
    </w:r>
    <w:r w:rsidRPr="00D824BE">
      <w:rPr>
        <w:rFonts w:ascii="Arial" w:hAnsi="Arial" w:cs="Arial"/>
        <w:sz w:val="20"/>
      </w:rPr>
      <w:t>al Symposium on Measuring Techniques in Turbomachinery</w:t>
    </w:r>
  </w:p>
  <w:p w14:paraId="6492B90D" w14:textId="77777777" w:rsidR="007D1A84" w:rsidRDefault="007D1A84" w:rsidP="007D1A84">
    <w:pPr>
      <w:pStyle w:val="Intestazione"/>
      <w:jc w:val="right"/>
      <w:rPr>
        <w:rFonts w:ascii="Arial" w:hAnsi="Arial" w:cs="Arial"/>
        <w:sz w:val="20"/>
      </w:rPr>
    </w:pPr>
    <w:r>
      <w:rPr>
        <w:rFonts w:ascii="Arial" w:hAnsi="Arial" w:cs="Arial"/>
        <w:sz w:val="20"/>
      </w:rPr>
      <w:t>Transonic and Supersonic Flow in Cascades and Turbomachines</w:t>
    </w:r>
  </w:p>
  <w:p w14:paraId="35B89CFA" w14:textId="68824A30" w:rsidR="007D469E" w:rsidRPr="007D1A84" w:rsidRDefault="007D469E" w:rsidP="007D1A8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063B8A"/>
    <w:multiLevelType w:val="hybridMultilevel"/>
    <w:tmpl w:val="A92EF05A"/>
    <w:lvl w:ilvl="0" w:tplc="05644E7A">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17602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rC0MLUwsjQwtjQyMTBX0lEKTi0uzszPAykwqQUAfBkKtSwAAAA="/>
  </w:docVars>
  <w:rsids>
    <w:rsidRoot w:val="007A6153"/>
    <w:rsid w:val="000042E0"/>
    <w:rsid w:val="000122BC"/>
    <w:rsid w:val="00022D8C"/>
    <w:rsid w:val="00040C05"/>
    <w:rsid w:val="0005154A"/>
    <w:rsid w:val="000603CD"/>
    <w:rsid w:val="00061405"/>
    <w:rsid w:val="00065A33"/>
    <w:rsid w:val="00067D57"/>
    <w:rsid w:val="00080B03"/>
    <w:rsid w:val="000852D9"/>
    <w:rsid w:val="000B4F17"/>
    <w:rsid w:val="000D7FCC"/>
    <w:rsid w:val="000F15FF"/>
    <w:rsid w:val="000F642F"/>
    <w:rsid w:val="0010054A"/>
    <w:rsid w:val="0010402B"/>
    <w:rsid w:val="00116ABC"/>
    <w:rsid w:val="0012111E"/>
    <w:rsid w:val="00137880"/>
    <w:rsid w:val="00140D4E"/>
    <w:rsid w:val="00146E86"/>
    <w:rsid w:val="00150D9A"/>
    <w:rsid w:val="00162D45"/>
    <w:rsid w:val="001872EC"/>
    <w:rsid w:val="001904DF"/>
    <w:rsid w:val="001942D3"/>
    <w:rsid w:val="001A1E61"/>
    <w:rsid w:val="001B1EA9"/>
    <w:rsid w:val="001B6548"/>
    <w:rsid w:val="001B6643"/>
    <w:rsid w:val="001C03F7"/>
    <w:rsid w:val="001C068E"/>
    <w:rsid w:val="001C0AD1"/>
    <w:rsid w:val="00225859"/>
    <w:rsid w:val="002617FE"/>
    <w:rsid w:val="00263B4C"/>
    <w:rsid w:val="00264F8A"/>
    <w:rsid w:val="0027233E"/>
    <w:rsid w:val="0027277A"/>
    <w:rsid w:val="0028228F"/>
    <w:rsid w:val="002B75B8"/>
    <w:rsid w:val="002D4BFE"/>
    <w:rsid w:val="002E41E3"/>
    <w:rsid w:val="002E6D74"/>
    <w:rsid w:val="003204AF"/>
    <w:rsid w:val="00330BF8"/>
    <w:rsid w:val="00333646"/>
    <w:rsid w:val="00354AA6"/>
    <w:rsid w:val="00354E17"/>
    <w:rsid w:val="00361A75"/>
    <w:rsid w:val="00361FE0"/>
    <w:rsid w:val="00363232"/>
    <w:rsid w:val="00366C77"/>
    <w:rsid w:val="00386B5D"/>
    <w:rsid w:val="00393C8C"/>
    <w:rsid w:val="00395FB2"/>
    <w:rsid w:val="003A2321"/>
    <w:rsid w:val="003A3E05"/>
    <w:rsid w:val="003B0751"/>
    <w:rsid w:val="003D5D56"/>
    <w:rsid w:val="003E0C4F"/>
    <w:rsid w:val="003E3E08"/>
    <w:rsid w:val="003F1BA2"/>
    <w:rsid w:val="003F6EAF"/>
    <w:rsid w:val="00404301"/>
    <w:rsid w:val="004128F3"/>
    <w:rsid w:val="004160BC"/>
    <w:rsid w:val="004171C0"/>
    <w:rsid w:val="00420278"/>
    <w:rsid w:val="0042624B"/>
    <w:rsid w:val="00427363"/>
    <w:rsid w:val="004415E0"/>
    <w:rsid w:val="00452749"/>
    <w:rsid w:val="004532DC"/>
    <w:rsid w:val="00462BC1"/>
    <w:rsid w:val="00472956"/>
    <w:rsid w:val="004743EE"/>
    <w:rsid w:val="00487619"/>
    <w:rsid w:val="004C46C3"/>
    <w:rsid w:val="004E34BA"/>
    <w:rsid w:val="004F4AAF"/>
    <w:rsid w:val="004F7243"/>
    <w:rsid w:val="0050146B"/>
    <w:rsid w:val="0051541F"/>
    <w:rsid w:val="005158B8"/>
    <w:rsid w:val="005176CF"/>
    <w:rsid w:val="00522251"/>
    <w:rsid w:val="00550F05"/>
    <w:rsid w:val="00562188"/>
    <w:rsid w:val="005639C3"/>
    <w:rsid w:val="00570BA1"/>
    <w:rsid w:val="00587C48"/>
    <w:rsid w:val="005B537A"/>
    <w:rsid w:val="005C3514"/>
    <w:rsid w:val="005F2BD5"/>
    <w:rsid w:val="00607AB4"/>
    <w:rsid w:val="0061198E"/>
    <w:rsid w:val="00617789"/>
    <w:rsid w:val="006211FC"/>
    <w:rsid w:val="0064152E"/>
    <w:rsid w:val="00642C72"/>
    <w:rsid w:val="00653227"/>
    <w:rsid w:val="006553B6"/>
    <w:rsid w:val="00656DBD"/>
    <w:rsid w:val="00681216"/>
    <w:rsid w:val="00682191"/>
    <w:rsid w:val="00690D85"/>
    <w:rsid w:val="006A07CF"/>
    <w:rsid w:val="006A08BD"/>
    <w:rsid w:val="006B2137"/>
    <w:rsid w:val="006B2BCA"/>
    <w:rsid w:val="006B6562"/>
    <w:rsid w:val="006C6009"/>
    <w:rsid w:val="006F7E1E"/>
    <w:rsid w:val="0070087A"/>
    <w:rsid w:val="007155AF"/>
    <w:rsid w:val="007217DB"/>
    <w:rsid w:val="00722B33"/>
    <w:rsid w:val="00723710"/>
    <w:rsid w:val="00726E38"/>
    <w:rsid w:val="00736F17"/>
    <w:rsid w:val="007517A4"/>
    <w:rsid w:val="00755AFB"/>
    <w:rsid w:val="00762E34"/>
    <w:rsid w:val="0078023E"/>
    <w:rsid w:val="00783059"/>
    <w:rsid w:val="00791559"/>
    <w:rsid w:val="00792BD3"/>
    <w:rsid w:val="00794364"/>
    <w:rsid w:val="00795E6F"/>
    <w:rsid w:val="00796643"/>
    <w:rsid w:val="007A25D4"/>
    <w:rsid w:val="007A6153"/>
    <w:rsid w:val="007B3D4B"/>
    <w:rsid w:val="007B6AC4"/>
    <w:rsid w:val="007C3D29"/>
    <w:rsid w:val="007D1A84"/>
    <w:rsid w:val="007D2015"/>
    <w:rsid w:val="007D469E"/>
    <w:rsid w:val="007E1A91"/>
    <w:rsid w:val="007E72D5"/>
    <w:rsid w:val="007F4AB9"/>
    <w:rsid w:val="00804F72"/>
    <w:rsid w:val="008218FB"/>
    <w:rsid w:val="00826211"/>
    <w:rsid w:val="008565EB"/>
    <w:rsid w:val="008576F7"/>
    <w:rsid w:val="00857847"/>
    <w:rsid w:val="008A402C"/>
    <w:rsid w:val="008A6436"/>
    <w:rsid w:val="008C2632"/>
    <w:rsid w:val="008D76C5"/>
    <w:rsid w:val="008E0596"/>
    <w:rsid w:val="008E064E"/>
    <w:rsid w:val="008F100D"/>
    <w:rsid w:val="008F5DA3"/>
    <w:rsid w:val="00903B53"/>
    <w:rsid w:val="00903E55"/>
    <w:rsid w:val="00921F1C"/>
    <w:rsid w:val="0092561C"/>
    <w:rsid w:val="00930D6E"/>
    <w:rsid w:val="00931635"/>
    <w:rsid w:val="009340CC"/>
    <w:rsid w:val="00936E6F"/>
    <w:rsid w:val="009551D6"/>
    <w:rsid w:val="00955E58"/>
    <w:rsid w:val="00986F48"/>
    <w:rsid w:val="009B14DA"/>
    <w:rsid w:val="009C3097"/>
    <w:rsid w:val="009D3C14"/>
    <w:rsid w:val="009D5CBE"/>
    <w:rsid w:val="009D5F5B"/>
    <w:rsid w:val="009E433A"/>
    <w:rsid w:val="009F09A6"/>
    <w:rsid w:val="009F585A"/>
    <w:rsid w:val="00A02B93"/>
    <w:rsid w:val="00A0355A"/>
    <w:rsid w:val="00A03D3E"/>
    <w:rsid w:val="00A05A64"/>
    <w:rsid w:val="00A11818"/>
    <w:rsid w:val="00A218D9"/>
    <w:rsid w:val="00A269B4"/>
    <w:rsid w:val="00A33E7F"/>
    <w:rsid w:val="00A43A62"/>
    <w:rsid w:val="00A54DB1"/>
    <w:rsid w:val="00A631C6"/>
    <w:rsid w:val="00A71DDA"/>
    <w:rsid w:val="00A71F3A"/>
    <w:rsid w:val="00A803F2"/>
    <w:rsid w:val="00A96237"/>
    <w:rsid w:val="00AA1296"/>
    <w:rsid w:val="00AA4744"/>
    <w:rsid w:val="00AB0992"/>
    <w:rsid w:val="00AC7A95"/>
    <w:rsid w:val="00AF2F1A"/>
    <w:rsid w:val="00AF6CA7"/>
    <w:rsid w:val="00B01F13"/>
    <w:rsid w:val="00B3764F"/>
    <w:rsid w:val="00B43E57"/>
    <w:rsid w:val="00B44ABC"/>
    <w:rsid w:val="00B47D74"/>
    <w:rsid w:val="00B50FFD"/>
    <w:rsid w:val="00B56771"/>
    <w:rsid w:val="00B628E6"/>
    <w:rsid w:val="00B9324A"/>
    <w:rsid w:val="00B962DF"/>
    <w:rsid w:val="00BB13ED"/>
    <w:rsid w:val="00BE1667"/>
    <w:rsid w:val="00BE3AB1"/>
    <w:rsid w:val="00BE3BE7"/>
    <w:rsid w:val="00BF32E0"/>
    <w:rsid w:val="00C02CB9"/>
    <w:rsid w:val="00C36679"/>
    <w:rsid w:val="00C552CC"/>
    <w:rsid w:val="00C55A25"/>
    <w:rsid w:val="00C73411"/>
    <w:rsid w:val="00C80D2B"/>
    <w:rsid w:val="00C9177C"/>
    <w:rsid w:val="00CA2E1E"/>
    <w:rsid w:val="00CA72C9"/>
    <w:rsid w:val="00CB27D6"/>
    <w:rsid w:val="00CB308A"/>
    <w:rsid w:val="00CB549F"/>
    <w:rsid w:val="00CC2C10"/>
    <w:rsid w:val="00CC5AFB"/>
    <w:rsid w:val="00CC7553"/>
    <w:rsid w:val="00CD3920"/>
    <w:rsid w:val="00CD6458"/>
    <w:rsid w:val="00CE1142"/>
    <w:rsid w:val="00CF348E"/>
    <w:rsid w:val="00CF4F07"/>
    <w:rsid w:val="00D038C6"/>
    <w:rsid w:val="00D04B9C"/>
    <w:rsid w:val="00D12583"/>
    <w:rsid w:val="00D12E3A"/>
    <w:rsid w:val="00D13B06"/>
    <w:rsid w:val="00D141DB"/>
    <w:rsid w:val="00D20619"/>
    <w:rsid w:val="00D35601"/>
    <w:rsid w:val="00D408B7"/>
    <w:rsid w:val="00D566C7"/>
    <w:rsid w:val="00D66CB4"/>
    <w:rsid w:val="00D824BE"/>
    <w:rsid w:val="00D94331"/>
    <w:rsid w:val="00D943E5"/>
    <w:rsid w:val="00DD22E9"/>
    <w:rsid w:val="00DE40B0"/>
    <w:rsid w:val="00E00AA8"/>
    <w:rsid w:val="00E27891"/>
    <w:rsid w:val="00E31A1F"/>
    <w:rsid w:val="00E426D3"/>
    <w:rsid w:val="00E723E1"/>
    <w:rsid w:val="00E83C42"/>
    <w:rsid w:val="00E86521"/>
    <w:rsid w:val="00E86785"/>
    <w:rsid w:val="00E95714"/>
    <w:rsid w:val="00EA407C"/>
    <w:rsid w:val="00EE0357"/>
    <w:rsid w:val="00EE585E"/>
    <w:rsid w:val="00EF2B8C"/>
    <w:rsid w:val="00F2374F"/>
    <w:rsid w:val="00F2516C"/>
    <w:rsid w:val="00F27B7C"/>
    <w:rsid w:val="00F41727"/>
    <w:rsid w:val="00F65B78"/>
    <w:rsid w:val="00F70218"/>
    <w:rsid w:val="00F73809"/>
    <w:rsid w:val="00F73BFE"/>
    <w:rsid w:val="00F748C6"/>
    <w:rsid w:val="00FA0597"/>
    <w:rsid w:val="00FB1BCA"/>
    <w:rsid w:val="00FB7074"/>
    <w:rsid w:val="00FC5212"/>
    <w:rsid w:val="00FE35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AB51D1"/>
  <w14:defaultImageDpi w14:val="32767"/>
  <w15:chartTrackingRefBased/>
  <w15:docId w15:val="{0F19FA84-7B67-4C32-945D-9DA2738C1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hAnsi="Arial"/>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dicedellefigure">
    <w:name w:val="table of figures"/>
    <w:aliases w:val="Table of Tables"/>
    <w:basedOn w:val="Normale"/>
    <w:next w:val="Normale"/>
    <w:semiHidden/>
    <w:pPr>
      <w:ind w:left="480" w:hanging="480"/>
      <w:jc w:val="both"/>
    </w:pPr>
    <w:rPr>
      <w:sz w:val="24"/>
      <w:szCs w:val="20"/>
      <w:lang w:val="en-GB"/>
    </w:rPr>
  </w:style>
  <w:style w:type="paragraph" w:customStyle="1" w:styleId="AbstractClauseTitle">
    <w:name w:val="Abstract Clause Title"/>
    <w:basedOn w:val="Normale"/>
    <w:next w:val="Corpodeltesto2"/>
    <w:pPr>
      <w:keepNext/>
      <w:suppressAutoHyphens/>
      <w:overflowPunct w:val="0"/>
      <w:autoSpaceDE w:val="0"/>
      <w:autoSpaceDN w:val="0"/>
      <w:adjustRightInd w:val="0"/>
      <w:jc w:val="both"/>
      <w:textAlignment w:val="baseline"/>
    </w:pPr>
    <w:rPr>
      <w:b/>
      <w:caps/>
      <w:kern w:val="14"/>
      <w:szCs w:val="20"/>
    </w:rPr>
  </w:style>
  <w:style w:type="paragraph" w:styleId="Corpodeltesto2">
    <w:name w:val="Body Text 2"/>
    <w:basedOn w:val="Normale"/>
    <w:pPr>
      <w:suppressAutoHyphens/>
      <w:overflowPunct w:val="0"/>
      <w:autoSpaceDE w:val="0"/>
      <w:autoSpaceDN w:val="0"/>
      <w:adjustRightInd w:val="0"/>
      <w:ind w:firstLine="360"/>
      <w:jc w:val="both"/>
      <w:textAlignment w:val="baseline"/>
    </w:pPr>
    <w:rPr>
      <w:rFonts w:ascii="Times New Roman" w:hAnsi="Times New Roman"/>
      <w:kern w:val="14"/>
      <w:szCs w:val="20"/>
    </w:rPr>
  </w:style>
  <w:style w:type="paragraph" w:customStyle="1" w:styleId="AcknowledgmentsClauseTitle">
    <w:name w:val="Acknowledgments Clause Title"/>
    <w:basedOn w:val="Normale"/>
    <w:next w:val="Corpodeltesto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NomenclatureClauseTitle">
    <w:name w:val="Nomenclature Clause Title"/>
    <w:basedOn w:val="Normale"/>
    <w:next w:val="Corpodeltesto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ReferencesClauseTitle">
    <w:name w:val="References Clause Title"/>
    <w:basedOn w:val="Normale"/>
    <w:next w:val="Corpodeltesto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Affiliation">
    <w:name w:val="Affiliation"/>
    <w:basedOn w:val="Normale"/>
    <w:pPr>
      <w:suppressAutoHyphens/>
      <w:overflowPunct w:val="0"/>
      <w:autoSpaceDE w:val="0"/>
      <w:autoSpaceDN w:val="0"/>
      <w:adjustRightInd w:val="0"/>
      <w:jc w:val="center"/>
      <w:textAlignment w:val="baseline"/>
    </w:pPr>
    <w:rPr>
      <w:kern w:val="14"/>
      <w:szCs w:val="20"/>
    </w:rPr>
  </w:style>
  <w:style w:type="paragraph" w:styleId="Titolo">
    <w:name w:val="Title"/>
    <w:basedOn w:val="Normale"/>
    <w:qFormat/>
    <w:pPr>
      <w:suppressAutoHyphens/>
      <w:overflowPunct w:val="0"/>
      <w:autoSpaceDE w:val="0"/>
      <w:autoSpaceDN w:val="0"/>
      <w:adjustRightInd w:val="0"/>
      <w:spacing w:before="760"/>
      <w:jc w:val="center"/>
      <w:textAlignment w:val="baseline"/>
    </w:pPr>
    <w:rPr>
      <w:b/>
      <w:caps/>
      <w:kern w:val="14"/>
      <w:sz w:val="24"/>
      <w:szCs w:val="20"/>
    </w:rPr>
  </w:style>
  <w:style w:type="paragraph" w:styleId="Intestazione">
    <w:name w:val="header"/>
    <w:basedOn w:val="Normale"/>
    <w:link w:val="IntestazioneCarattere"/>
    <w:pPr>
      <w:tabs>
        <w:tab w:val="center" w:pos="4320"/>
        <w:tab w:val="right" w:pos="8640"/>
      </w:tabs>
    </w:pPr>
    <w:rPr>
      <w:rFonts w:ascii="Times New Roman" w:hAnsi="Times New Roman"/>
      <w:sz w:val="24"/>
      <w:lang w:val="en-GB"/>
    </w:rPr>
  </w:style>
  <w:style w:type="paragraph" w:styleId="Pidipagina">
    <w:name w:val="footer"/>
    <w:basedOn w:val="Normale"/>
    <w:link w:val="PidipaginaCarattere"/>
    <w:pPr>
      <w:tabs>
        <w:tab w:val="center" w:pos="4320"/>
        <w:tab w:val="right" w:pos="8640"/>
      </w:tabs>
    </w:pPr>
    <w:rPr>
      <w:rFonts w:ascii="Times New Roman" w:hAnsi="Times New Roman"/>
      <w:sz w:val="24"/>
      <w:lang w:val="en-GB"/>
    </w:rPr>
  </w:style>
  <w:style w:type="character" w:styleId="Numeropagina">
    <w:name w:val="page number"/>
    <w:basedOn w:val="Carpredefinitoparagrafo"/>
  </w:style>
  <w:style w:type="table" w:styleId="Grigliatabella">
    <w:name w:val="Table Grid"/>
    <w:basedOn w:val="Tabellanormale"/>
    <w:rsid w:val="00906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Carpredefinitoparagrafo"/>
    <w:link w:val="Intestazione"/>
    <w:rsid w:val="007D1A84"/>
    <w:rPr>
      <w:sz w:val="24"/>
      <w:szCs w:val="24"/>
      <w:lang w:val="en-GB"/>
    </w:rPr>
  </w:style>
  <w:style w:type="character" w:customStyle="1" w:styleId="PidipaginaCarattere">
    <w:name w:val="Piè di pagina Carattere"/>
    <w:basedOn w:val="Carpredefinitoparagrafo"/>
    <w:link w:val="Pidipagina"/>
    <w:rsid w:val="007D1A84"/>
    <w:rPr>
      <w:sz w:val="24"/>
      <w:szCs w:val="24"/>
      <w:lang w:val="en-GB"/>
    </w:rPr>
  </w:style>
  <w:style w:type="character" w:styleId="Rimandocommento">
    <w:name w:val="annotation reference"/>
    <w:basedOn w:val="Carpredefinitoparagrafo"/>
    <w:uiPriority w:val="99"/>
    <w:semiHidden/>
    <w:unhideWhenUsed/>
    <w:rsid w:val="00FB7074"/>
    <w:rPr>
      <w:sz w:val="16"/>
      <w:szCs w:val="16"/>
    </w:rPr>
  </w:style>
  <w:style w:type="paragraph" w:styleId="Testocommento">
    <w:name w:val="annotation text"/>
    <w:basedOn w:val="Normale"/>
    <w:link w:val="TestocommentoCarattere"/>
    <w:uiPriority w:val="99"/>
    <w:unhideWhenUsed/>
    <w:rsid w:val="00FB7074"/>
    <w:pPr>
      <w:spacing w:after="160"/>
      <w:ind w:left="720"/>
      <w:jc w:val="both"/>
    </w:pPr>
    <w:rPr>
      <w:rFonts w:asciiTheme="minorHAnsi" w:eastAsiaTheme="minorHAnsi" w:hAnsiTheme="minorHAnsi" w:cstheme="minorBidi"/>
      <w:kern w:val="2"/>
      <w:szCs w:val="20"/>
      <w:lang w:val="en-GB"/>
      <w14:ligatures w14:val="standardContextual"/>
    </w:rPr>
  </w:style>
  <w:style w:type="character" w:customStyle="1" w:styleId="TestocommentoCarattere">
    <w:name w:val="Testo commento Carattere"/>
    <w:basedOn w:val="Carpredefinitoparagrafo"/>
    <w:link w:val="Testocommento"/>
    <w:uiPriority w:val="99"/>
    <w:rsid w:val="00FB7074"/>
    <w:rPr>
      <w:rFonts w:asciiTheme="minorHAnsi" w:eastAsiaTheme="minorHAnsi" w:hAnsiTheme="minorHAnsi" w:cstheme="minorBidi"/>
      <w:kern w:val="2"/>
      <w:lang w:val="en-GB"/>
      <w14:ligatures w14:val="standardContextual"/>
    </w:rPr>
  </w:style>
  <w:style w:type="character" w:styleId="Collegamentoipertestuale">
    <w:name w:val="Hyperlink"/>
    <w:basedOn w:val="Carpredefinitoparagrafo"/>
    <w:uiPriority w:val="99"/>
    <w:unhideWhenUsed/>
    <w:rsid w:val="002D4BFE"/>
    <w:rPr>
      <w:color w:val="0563C1" w:themeColor="hyperlink"/>
      <w:u w:val="single"/>
    </w:rPr>
  </w:style>
  <w:style w:type="character" w:styleId="Menzionenonrisolta">
    <w:name w:val="Unresolved Mention"/>
    <w:basedOn w:val="Carpredefinitoparagrafo"/>
    <w:uiPriority w:val="99"/>
    <w:semiHidden/>
    <w:unhideWhenUsed/>
    <w:rsid w:val="002D4BFE"/>
    <w:rPr>
      <w:color w:val="605E5C"/>
      <w:shd w:val="clear" w:color="auto" w:fill="E1DFDD"/>
    </w:rPr>
  </w:style>
  <w:style w:type="paragraph" w:styleId="Didascalia">
    <w:name w:val="caption"/>
    <w:basedOn w:val="Normale"/>
    <w:next w:val="Normale"/>
    <w:uiPriority w:val="35"/>
    <w:unhideWhenUsed/>
    <w:qFormat/>
    <w:rsid w:val="0010402B"/>
    <w:pPr>
      <w:spacing w:after="200"/>
    </w:pPr>
    <w:rPr>
      <w:i/>
      <w:iCs/>
      <w:color w:val="44546A" w:themeColor="text2"/>
      <w:sz w:val="18"/>
      <w:szCs w:val="18"/>
    </w:rPr>
  </w:style>
  <w:style w:type="paragraph" w:styleId="Revisione">
    <w:name w:val="Revision"/>
    <w:hidden/>
    <w:uiPriority w:val="99"/>
    <w:semiHidden/>
    <w:rsid w:val="00736F17"/>
    <w:rPr>
      <w:rFonts w:ascii="Arial" w:hAnsi="Arial"/>
      <w:szCs w:val="24"/>
    </w:rPr>
  </w:style>
  <w:style w:type="paragraph" w:styleId="Soggettocommento">
    <w:name w:val="annotation subject"/>
    <w:basedOn w:val="Testocommento"/>
    <w:next w:val="Testocommento"/>
    <w:link w:val="SoggettocommentoCarattere"/>
    <w:uiPriority w:val="99"/>
    <w:semiHidden/>
    <w:unhideWhenUsed/>
    <w:rsid w:val="009C3097"/>
    <w:pPr>
      <w:spacing w:after="0"/>
      <w:ind w:left="0"/>
      <w:jc w:val="left"/>
    </w:pPr>
    <w:rPr>
      <w:rFonts w:ascii="Arial" w:eastAsia="Times New Roman" w:hAnsi="Arial" w:cs="Times New Roman"/>
      <w:b/>
      <w:bCs/>
      <w:kern w:val="0"/>
      <w:lang w:val="en-US"/>
      <w14:ligatures w14:val="none"/>
    </w:rPr>
  </w:style>
  <w:style w:type="character" w:customStyle="1" w:styleId="SoggettocommentoCarattere">
    <w:name w:val="Soggetto commento Carattere"/>
    <w:basedOn w:val="TestocommentoCarattere"/>
    <w:link w:val="Soggettocommento"/>
    <w:uiPriority w:val="99"/>
    <w:semiHidden/>
    <w:rsid w:val="009C3097"/>
    <w:rPr>
      <w:rFonts w:ascii="Arial" w:eastAsiaTheme="minorHAnsi" w:hAnsi="Arial" w:cstheme="minorBidi"/>
      <w:b/>
      <w:bCs/>
      <w:kern w:val="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arrettmotion.com/it/racing-and-performance/performance-catalog/turbo/garrett-boost-club-line-gbc14-200/"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rotrex-fuel-cell-compressor.com/fuel-cell-compress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AC14F-2E23-460E-B277-56BDCDA67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3962</Characters>
  <Application>Microsoft Office Word</Application>
  <DocSecurity>0</DocSecurity>
  <Lines>33</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PUT PAPER TITLE HERE</vt:lpstr>
      <vt:lpstr>PUT PAPER TITLE HERE</vt:lpstr>
    </vt:vector>
  </TitlesOfParts>
  <Company>KTH</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PUT PAPER TITLE HERE</dc:title>
  <dc:subject/>
  <dc:creator>Administrator</dc:creator>
  <cp:keywords/>
  <dc:description/>
  <cp:lastModifiedBy>Lorenzo Ferrari</cp:lastModifiedBy>
  <cp:revision>3</cp:revision>
  <cp:lastPrinted>2024-03-08T16:51:00Z</cp:lastPrinted>
  <dcterms:created xsi:type="dcterms:W3CDTF">2024-03-08T16:50:00Z</dcterms:created>
  <dcterms:modified xsi:type="dcterms:W3CDTF">2024-03-08T16:51:00Z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a92dcae30412bcfb237f93afa97a4f1190f5de8800554cfda947f3ea3678927d</vt:lpwstr>
  </property>
</Properties>
</file>