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7BAF7" w14:textId="5B167476" w:rsidR="007D469E" w:rsidRDefault="00B95600">
      <w:pPr>
        <w:pStyle w:val="Nzev"/>
      </w:pPr>
      <w:r>
        <w:t xml:space="preserve">measurement of </w:t>
      </w:r>
      <w:r w:rsidR="00611419">
        <w:t>coherent flow instabilities in the wake of a compressor blade at high incidence</w:t>
      </w:r>
      <w:r w:rsidR="00F7593F">
        <w:t xml:space="preserve"> angles</w:t>
      </w:r>
    </w:p>
    <w:p w14:paraId="160C5F8A" w14:textId="77777777" w:rsidR="007D469E" w:rsidRDefault="007D469E"/>
    <w:p w14:paraId="73B9E162" w14:textId="77777777" w:rsidR="007D469E" w:rsidRDefault="007D469E"/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D469E" w14:paraId="5C7E3CA7" w14:textId="77777777">
        <w:tc>
          <w:tcPr>
            <w:tcW w:w="4680" w:type="dxa"/>
          </w:tcPr>
          <w:p w14:paraId="309633EE" w14:textId="0129CDE1" w:rsidR="00243E4D" w:rsidRPr="00783527" w:rsidRDefault="00243E4D" w:rsidP="00243E4D">
            <w:pPr>
              <w:pStyle w:val="Affiliation"/>
              <w:rPr>
                <w:b/>
                <w:lang w:val="cs-CZ"/>
              </w:rPr>
            </w:pPr>
            <w:r w:rsidRPr="00783527">
              <w:rPr>
                <w:b/>
              </w:rPr>
              <w:t xml:space="preserve">Petr </w:t>
            </w:r>
            <w:r w:rsidRPr="00783527">
              <w:rPr>
                <w:b/>
                <w:lang w:val="cs-CZ"/>
              </w:rPr>
              <w:t>Šidlof</w:t>
            </w:r>
          </w:p>
          <w:p w14:paraId="07206E23" w14:textId="45CE5BAE" w:rsidR="007D469E" w:rsidRDefault="00243E4D" w:rsidP="00243E4D">
            <w:pPr>
              <w:pStyle w:val="Affiliation"/>
            </w:pPr>
            <w:proofErr w:type="spellStart"/>
            <w:r>
              <w:rPr>
                <w:lang w:val="cs-CZ"/>
              </w:rPr>
              <w:t>Technical</w:t>
            </w:r>
            <w:proofErr w:type="spellEnd"/>
            <w:r>
              <w:rPr>
                <w:lang w:val="cs-CZ"/>
              </w:rPr>
              <w:t xml:space="preserve"> University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Liberec, NTI FM, Studentská 2, Liberec, Czech Republic</w:t>
            </w:r>
            <w:r>
              <w:t xml:space="preserve"> </w:t>
            </w:r>
          </w:p>
        </w:tc>
        <w:tc>
          <w:tcPr>
            <w:tcW w:w="4680" w:type="dxa"/>
          </w:tcPr>
          <w:p w14:paraId="5478B1AE" w14:textId="77777777" w:rsidR="00243E4D" w:rsidRPr="00783527" w:rsidRDefault="00243E4D" w:rsidP="00243E4D">
            <w:pPr>
              <w:pStyle w:val="Affiliation"/>
              <w:rPr>
                <w:b/>
              </w:rPr>
            </w:pPr>
            <w:r w:rsidRPr="00783527">
              <w:rPr>
                <w:b/>
              </w:rPr>
              <w:t xml:space="preserve">David </w:t>
            </w:r>
            <w:proofErr w:type="spellStart"/>
            <w:r w:rsidRPr="00783527">
              <w:rPr>
                <w:b/>
              </w:rPr>
              <w:t>Šimurda</w:t>
            </w:r>
            <w:proofErr w:type="spellEnd"/>
            <w:r w:rsidRPr="00783527">
              <w:rPr>
                <w:b/>
              </w:rPr>
              <w:t xml:space="preserve">, Jan </w:t>
            </w:r>
            <w:r>
              <w:rPr>
                <w:b/>
              </w:rPr>
              <w:t>Lepicovsky</w:t>
            </w:r>
          </w:p>
          <w:p w14:paraId="022DF9CE" w14:textId="35453614" w:rsidR="007D469E" w:rsidRDefault="00243E4D" w:rsidP="00243E4D">
            <w:pPr>
              <w:pStyle w:val="Affiliation"/>
            </w:pPr>
            <w:r>
              <w:t xml:space="preserve">Institute of Thermomechanics, Czech Academy of Sciences, </w:t>
            </w:r>
            <w:proofErr w:type="spellStart"/>
            <w:r>
              <w:t>Dolejškova</w:t>
            </w:r>
            <w:proofErr w:type="spellEnd"/>
            <w:r>
              <w:t xml:space="preserve"> 5, Prague, Czech Republic</w:t>
            </w:r>
          </w:p>
          <w:p w14:paraId="38D4F315" w14:textId="77777777" w:rsidR="007D469E" w:rsidRDefault="007D469E">
            <w:pPr>
              <w:pStyle w:val="Affiliation"/>
            </w:pPr>
          </w:p>
        </w:tc>
      </w:tr>
    </w:tbl>
    <w:p w14:paraId="71E9C335" w14:textId="77777777" w:rsidR="007D469E" w:rsidRDefault="007D469E">
      <w:pPr>
        <w:pStyle w:val="AbstractClauseTitle"/>
        <w:sectPr w:rsidR="007D469E">
          <w:headerReference w:type="default" r:id="rId6"/>
          <w:footerReference w:type="default" r:id="rId7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FF2C1B7" w14:textId="77777777" w:rsidR="007D469E" w:rsidRDefault="007D469E">
      <w:pPr>
        <w:pStyle w:val="AbstractClauseTitle"/>
      </w:pPr>
    </w:p>
    <w:p w14:paraId="0EFE4DE5" w14:textId="77777777" w:rsidR="007D469E" w:rsidRDefault="007D469E">
      <w:pPr>
        <w:pStyle w:val="AbstractClauseTitle"/>
      </w:pPr>
    </w:p>
    <w:p w14:paraId="4CFEF773" w14:textId="77777777" w:rsidR="007D469E" w:rsidRDefault="007D469E">
      <w:pPr>
        <w:pStyle w:val="AbstractClauseTitle"/>
        <w:sectPr w:rsidR="007D469E">
          <w:headerReference w:type="default" r:id="rId8"/>
          <w:footerReference w:type="default" r:id="rId9"/>
          <w:type w:val="continuous"/>
          <w:pgSz w:w="11909" w:h="16834" w:code="9"/>
          <w:pgMar w:top="1440" w:right="1440" w:bottom="1440" w:left="1440" w:header="720" w:footer="720" w:gutter="0"/>
          <w:cols w:num="2" w:space="720" w:equalWidth="0">
            <w:col w:w="4154" w:space="720"/>
            <w:col w:w="4154"/>
          </w:cols>
          <w:docGrid w:linePitch="360"/>
        </w:sectPr>
      </w:pPr>
    </w:p>
    <w:p w14:paraId="6C67C586" w14:textId="77777777" w:rsidR="007D469E" w:rsidRDefault="007D469E">
      <w:pPr>
        <w:pStyle w:val="AbstractClauseTitle"/>
      </w:pPr>
    </w:p>
    <w:p w14:paraId="6411A235" w14:textId="77777777" w:rsidR="007D469E" w:rsidRDefault="007D469E">
      <w:pPr>
        <w:pStyle w:val="AbstractClauseTitle"/>
      </w:pPr>
      <w:r>
        <w:t>Abstract</w:t>
      </w:r>
    </w:p>
    <w:p w14:paraId="1388C743" w14:textId="14E352FA" w:rsidR="007D469E" w:rsidRDefault="00463BAD">
      <w:pPr>
        <w:pStyle w:val="Zkladntext2"/>
      </w:pPr>
      <w:r>
        <w:t xml:space="preserve">The study reports on preliminary measurements of coherent instabilities in the separated flow downstream of blade with a transonic compressor profile, registered by Kulite dynamic pressure transducers mounted in the blade surface. </w:t>
      </w:r>
      <w:r w:rsidR="00055036">
        <w:t>For the sake of future investigation of non-synchronous vibration, the frequency and amplitude of the spectral peak was analyzed for various blade incidence angles and inlet Mach numbers.</w:t>
      </w:r>
    </w:p>
    <w:p w14:paraId="0151206C" w14:textId="77777777" w:rsidR="007D469E" w:rsidRDefault="007D469E">
      <w:pPr>
        <w:pStyle w:val="Zkladntext2"/>
      </w:pPr>
    </w:p>
    <w:p w14:paraId="205582DD" w14:textId="77777777" w:rsidR="007D469E" w:rsidRDefault="007D469E">
      <w:pPr>
        <w:pStyle w:val="AbstractClauseTitle"/>
      </w:pPr>
      <w:r>
        <w:t>introduction</w:t>
      </w:r>
    </w:p>
    <w:p w14:paraId="0B8A1189" w14:textId="12613359" w:rsidR="007D469E" w:rsidRDefault="00AD578F">
      <w:pPr>
        <w:pStyle w:val="Zkladntext2"/>
      </w:pPr>
      <w:r w:rsidRPr="00AD578F">
        <w:t xml:space="preserve">In the </w:t>
      </w:r>
      <w:r w:rsidR="0092212D">
        <w:t xml:space="preserve">highly loaded </w:t>
      </w:r>
      <w:r w:rsidRPr="00AD578F">
        <w:t>bladed disk assemblies of turbomachines, multiple types of aeroelastic instabilities can be encountered</w:t>
      </w:r>
      <w:r w:rsidR="0092212D">
        <w:t xml:space="preserve">, including </w:t>
      </w:r>
      <w:r w:rsidR="00537DC4">
        <w:t xml:space="preserve">forced response </w:t>
      </w:r>
      <w:r w:rsidR="0092212D">
        <w:t>flutter, and non-synchronous vibration</w:t>
      </w:r>
      <w:r w:rsidR="00E270D4">
        <w:t xml:space="preserve"> (</w:t>
      </w:r>
      <w:proofErr w:type="spellStart"/>
      <w:r w:rsidR="00E270D4">
        <w:t>Kielb</w:t>
      </w:r>
      <w:proofErr w:type="spellEnd"/>
      <w:r w:rsidR="00E270D4">
        <w:t xml:space="preserve"> et al., 2003</w:t>
      </w:r>
      <w:r w:rsidR="00537DC4">
        <w:t xml:space="preserve">; </w:t>
      </w:r>
      <w:proofErr w:type="spellStart"/>
      <w:r w:rsidR="00537DC4" w:rsidRPr="00E270D4">
        <w:t>Stapelfeldt</w:t>
      </w:r>
      <w:proofErr w:type="spellEnd"/>
      <w:r w:rsidR="00537DC4">
        <w:t xml:space="preserve"> &amp; </w:t>
      </w:r>
      <w:proofErr w:type="spellStart"/>
      <w:r w:rsidR="00537DC4" w:rsidRPr="00E270D4">
        <w:t>Brandstetter</w:t>
      </w:r>
      <w:proofErr w:type="spellEnd"/>
      <w:r w:rsidR="00537DC4">
        <w:t>, 2020</w:t>
      </w:r>
      <w:r w:rsidR="00E270D4">
        <w:t xml:space="preserve">). In the latter case, the blades do not oscillate due to fluid-structure interaction and coupling between the flow and structure, but as a result of a coherent fluid dynamic instability, typically at higher incidence angles and reduced frequencies. The current study reports </w:t>
      </w:r>
      <w:r w:rsidR="00F7593F">
        <w:t>preliminary results of unsteady pressure measurements on the suction side of a compressor blade at various incidence angles and inlet Mach numbers.</w:t>
      </w:r>
    </w:p>
    <w:p w14:paraId="4EF588D7" w14:textId="3C8F7F44" w:rsidR="00F7593F" w:rsidRDefault="00F7593F">
      <w:pPr>
        <w:pStyle w:val="Zkladntext2"/>
      </w:pPr>
    </w:p>
    <w:p w14:paraId="0962F678" w14:textId="18FE7162" w:rsidR="00F7593F" w:rsidRDefault="00F7593F" w:rsidP="00F7593F">
      <w:pPr>
        <w:pStyle w:val="AbstractClauseTitle"/>
      </w:pPr>
      <w:r>
        <w:t>METHODS</w:t>
      </w:r>
    </w:p>
    <w:p w14:paraId="68122167" w14:textId="26EC9B62" w:rsidR="00F7593F" w:rsidRPr="00F7593F" w:rsidRDefault="00F7593F" w:rsidP="00F7593F">
      <w:pPr>
        <w:pStyle w:val="Zkladntext2"/>
        <w:ind w:firstLine="426"/>
      </w:pPr>
      <w:r>
        <w:t xml:space="preserve">The measurement was performed on the experimental test rig described in (Lepicovsky et al., 2023). For this sake, an isolated compressor blade </w:t>
      </w:r>
      <w:r w:rsidR="005C36B5">
        <w:t xml:space="preserve">with a geometry of a compressor rotor developed at German Aerospace Center (Schreiber, 1984) </w:t>
      </w:r>
      <w:r>
        <w:t xml:space="preserve">was fixed in the test section </w:t>
      </w:r>
      <w:r w:rsidR="00271DBD">
        <w:t xml:space="preserve">at </w:t>
      </w:r>
      <w:r>
        <w:t xml:space="preserve">an incidence angle ranging between </w:t>
      </w:r>
      <m:oMath>
        <m:r>
          <w:rPr>
            <w:rFonts w:ascii="Cambria Math" w:hAnsi="Cambria Math"/>
          </w:rPr>
          <m:t>θ=10-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and subjected to airflow with inlet Mach number </w:t>
      </w:r>
      <m:oMath>
        <m:r>
          <w:rPr>
            <w:rFonts w:ascii="Cambria Math" w:hAnsi="Cambria Math"/>
          </w:rPr>
          <m:t>M=0.1-0.4</m:t>
        </m:r>
      </m:oMath>
      <w:r>
        <w:t xml:space="preserve"> (see Fig. 1).</w:t>
      </w:r>
      <w:r w:rsidR="00430DCA">
        <w:t xml:space="preserve"> The blade is instrumented with </w:t>
      </w:r>
      <w:r w:rsidR="00142E95">
        <w:rPr>
          <w:lang w:val="cs-CZ"/>
        </w:rPr>
        <w:t xml:space="preserve">7 </w:t>
      </w:r>
      <w:r w:rsidR="00430DCA">
        <w:t>dynamic pressure transducers</w:t>
      </w:r>
      <w:r w:rsidR="00142E95">
        <w:t xml:space="preserve"> (Kulite </w:t>
      </w:r>
      <w:r w:rsidR="00142E95" w:rsidRPr="00142E95">
        <w:t>XCQ-IC-062-25</w:t>
      </w:r>
      <w:r w:rsidR="00142E95">
        <w:t xml:space="preserve">) with pressure ports distributed over the suction side of the blade at midspan. The time-resolved data from the Kulite sensors was recorded using a </w:t>
      </w:r>
      <w:proofErr w:type="spellStart"/>
      <w:r w:rsidR="00142E95">
        <w:t>Dewetron</w:t>
      </w:r>
      <w:proofErr w:type="spellEnd"/>
      <w:r w:rsidR="00142E95">
        <w:t xml:space="preserve"> 800 data acquisition system with a sampling frequency of 40 kHz</w:t>
      </w:r>
      <w:r w:rsidR="00271DBD">
        <w:t>. T</w:t>
      </w:r>
      <w:r w:rsidR="00142E95">
        <w:t xml:space="preserve">he frequency spectra </w:t>
      </w:r>
      <w:r w:rsidR="00E44ED8">
        <w:t xml:space="preserve">of the signals were </w:t>
      </w:r>
      <w:r w:rsidR="00142E95">
        <w:t>analyzed.</w:t>
      </w:r>
    </w:p>
    <w:p w14:paraId="4ACF6B0E" w14:textId="77777777" w:rsidR="007D469E" w:rsidRDefault="007D469E" w:rsidP="007D469E">
      <w:pPr>
        <w:pStyle w:val="NomenclatureClauseTitle"/>
      </w:pPr>
      <w:r>
        <w:t>RESULTS and DISCUSSION</w:t>
      </w:r>
    </w:p>
    <w:p w14:paraId="124AD5B6" w14:textId="1948765B" w:rsidR="007D469E" w:rsidRDefault="00A53A3B">
      <w:pPr>
        <w:pStyle w:val="Zkladntext2"/>
      </w:pPr>
      <w:r>
        <w:t>For low</w:t>
      </w:r>
      <w:r w:rsidR="000B651A">
        <w:t>er</w:t>
      </w:r>
      <w:r>
        <w:t xml:space="preserve"> angles of attack </w:t>
      </w:r>
      <m:oMath>
        <m:r>
          <w:rPr>
            <w:rFonts w:ascii="Cambria Math" w:hAnsi="Cambria Math"/>
          </w:rPr>
          <m:t>θ=10-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 w:rsidR="000B651A">
        <w:t xml:space="preserve">, the spectra of the Kulite pressure transducers contain a single peak roughly corresponding to the frequency of </w:t>
      </w:r>
      <w:proofErr w:type="spellStart"/>
      <w:r w:rsidR="000B651A">
        <w:t>Strouhal</w:t>
      </w:r>
      <w:proofErr w:type="spellEnd"/>
      <w:r w:rsidR="000B651A">
        <w:t xml:space="preserve"> vortex shedding, which may be estimated as</w:t>
      </w:r>
    </w:p>
    <w:p w14:paraId="0BF14FBD" w14:textId="438CAE7F" w:rsidR="000B651A" w:rsidRDefault="000B651A">
      <w:pPr>
        <w:pStyle w:val="Zkladntext2"/>
      </w:pPr>
    </w:p>
    <w:p w14:paraId="070F17C1" w14:textId="412AF14A" w:rsidR="000B651A" w:rsidRDefault="000B651A" w:rsidP="000B651A">
      <w:pPr>
        <w:pStyle w:val="Zkladntext2"/>
        <w:tabs>
          <w:tab w:val="left" w:pos="851"/>
          <w:tab w:val="right" w:pos="8505"/>
        </w:tabs>
      </w:pP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0.2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∞</m:t>
                </m:r>
              </m:sub>
            </m:sSub>
            <m:r>
              <w:rPr>
                <w:rFonts w:ascii="Cambria Math" w:hAnsi="Cambria Math"/>
              </w:rPr>
              <m:t xml:space="preserve">  </m:t>
            </m:r>
          </m:num>
          <m:den>
            <m:r>
              <w:rPr>
                <w:rFonts w:ascii="Cambria Math" w:hAnsi="Cambria Math"/>
              </w:rPr>
              <m:t xml:space="preserve">c 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(θ)</m:t>
            </m:r>
          </m:den>
        </m:f>
      </m:oMath>
      <w:r>
        <w:t xml:space="preserve"> ,</w:t>
      </w:r>
      <w:r>
        <w:tab/>
        <w:t>(1)</w:t>
      </w:r>
    </w:p>
    <w:p w14:paraId="44B6676A" w14:textId="24AA2E3E" w:rsidR="000B651A" w:rsidRDefault="000B651A" w:rsidP="000B651A">
      <w:pPr>
        <w:pStyle w:val="Zkladntext2"/>
        <w:ind w:firstLine="0"/>
      </w:pPr>
    </w:p>
    <w:p w14:paraId="2FBCC71B" w14:textId="4544BFF2" w:rsidR="000B651A" w:rsidRDefault="000B651A" w:rsidP="000B651A">
      <w:pPr>
        <w:pStyle w:val="Zkladntext2"/>
        <w:ind w:firstLine="0"/>
      </w:pPr>
      <w:r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∞</m:t>
            </m:r>
          </m:sub>
        </m:sSub>
      </m:oMath>
      <w:r>
        <w:t xml:space="preserve"> is the inlet flow velocity and </w:t>
      </w:r>
      <m:oMath>
        <m:r>
          <w:rPr>
            <w:rFonts w:ascii="Cambria Math" w:hAnsi="Cambria Math"/>
          </w:rPr>
          <m:t xml:space="preserve">c=120 </m:t>
        </m:r>
        <m:r>
          <m:rPr>
            <m:sty m:val="p"/>
          </m:rPr>
          <w:rPr>
            <w:rFonts w:ascii="Cambria Math" w:hAnsi="Cambria Math"/>
          </w:rPr>
          <m:t>mm</m:t>
        </m:r>
      </m:oMath>
      <w:r>
        <w:t xml:space="preserve"> the chord length. The frequency of the peak ranges between </w:t>
      </w:r>
      <m:oMath>
        <m:r>
          <w:rPr>
            <w:rFonts w:ascii="Cambria Math" w:hAnsi="Cambria Math"/>
          </w:rPr>
          <m:t xml:space="preserve">670-720 </m:t>
        </m:r>
        <m:r>
          <m:rPr>
            <m:sty m:val="p"/>
          </m:rPr>
          <w:rPr>
            <w:rFonts w:ascii="Cambria Math" w:hAnsi="Cambria Math"/>
          </w:rPr>
          <m:t>Hz</m:t>
        </m:r>
      </m:oMath>
      <w:r>
        <w:t xml:space="preserve"> and the amplitude between </w:t>
      </w:r>
      <m:oMath>
        <m:r>
          <w:rPr>
            <w:rFonts w:ascii="Cambria Math" w:hAnsi="Cambria Math"/>
          </w:rPr>
          <m:t xml:space="preserve">0.2-2 </m:t>
        </m:r>
        <m:r>
          <m:rPr>
            <m:sty m:val="p"/>
          </m:rPr>
          <w:rPr>
            <w:rFonts w:ascii="Cambria Math" w:hAnsi="Cambria Math"/>
          </w:rPr>
          <m:t>kPa</m:t>
        </m:r>
      </m:oMath>
      <w:r>
        <w:t xml:space="preserve"> depending on the inlet Mach number and position of the Kulite sensor along the blade chord. In this frequency range, the </w:t>
      </w:r>
      <w:r w:rsidR="00F34755">
        <w:t>investigation</w:t>
      </w:r>
      <w:r>
        <w:t xml:space="preserve"> of the non-synchronous vibrations (NSV) </w:t>
      </w:r>
      <w:r w:rsidR="00F34755">
        <w:t xml:space="preserve">and the lock-in effect </w:t>
      </w:r>
      <w:r>
        <w:t xml:space="preserve">is not possible with the current </w:t>
      </w:r>
      <w:r w:rsidR="00F34755">
        <w:t xml:space="preserve">experimental setup, which allows for blade excitation up to </w:t>
      </w:r>
      <m:oMath>
        <m:r>
          <w:rPr>
            <w:rFonts w:ascii="Cambria Math" w:hAnsi="Cambria Math"/>
          </w:rPr>
          <m:t xml:space="preserve">300 </m:t>
        </m:r>
        <m:r>
          <m:rPr>
            <m:sty m:val="p"/>
          </m:rPr>
          <w:rPr>
            <w:rFonts w:ascii="Cambria Math" w:hAnsi="Cambria Math"/>
          </w:rPr>
          <m:t>Hz</m:t>
        </m:r>
      </m:oMath>
      <w:r w:rsidR="00F34755">
        <w:t xml:space="preserve"> only.</w:t>
      </w:r>
    </w:p>
    <w:p w14:paraId="79848F83" w14:textId="5660E9C6" w:rsidR="00F34755" w:rsidRPr="00F34755" w:rsidRDefault="00F34755" w:rsidP="00F34755">
      <w:pPr>
        <w:pStyle w:val="Zkladntext2"/>
        <w:ind w:firstLine="426"/>
      </w:pPr>
      <w:r>
        <w:t xml:space="preserve">At very high angles of attack </w:t>
      </w:r>
      <m:oMath>
        <m:r>
          <w:rPr>
            <w:rFonts w:ascii="Cambria Math" w:hAnsi="Cambria Math"/>
          </w:rPr>
          <m:t>θ=30-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t xml:space="preserve">, the spectral peak frequency follows the trend described by equation (1) up to </w:t>
      </w:r>
      <m:oMath>
        <m:r>
          <w:rPr>
            <w:rFonts w:ascii="Cambria Math" w:hAnsi="Cambria Math"/>
          </w:rPr>
          <m:t>M=0.3</m:t>
        </m:r>
      </m:oMath>
      <w:r>
        <w:t xml:space="preserve">, where it reaches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 xml:space="preserve">=410 </m:t>
        </m:r>
        <m:r>
          <m:rPr>
            <m:sty m:val="p"/>
          </m:rPr>
          <w:rPr>
            <w:rFonts w:ascii="Cambria Math" w:hAnsi="Cambria Math"/>
          </w:rPr>
          <m:t>Hz</m:t>
        </m:r>
      </m:oMath>
      <w:r>
        <w:t xml:space="preserve">. However, for higher inlet Mach number </w:t>
      </w:r>
      <m:oMath>
        <m:r>
          <w:rPr>
            <w:rFonts w:ascii="Cambria Math" w:hAnsi="Cambria Math"/>
          </w:rPr>
          <m:t>M=0.39</m:t>
        </m:r>
      </m:oMath>
      <w:r>
        <w:t xml:space="preserve">, a completely different spectral peak suddenly occurs at a significantly lower frequency </w:t>
      </w:r>
      <m:oMath>
        <m:r>
          <w:rPr>
            <w:rFonts w:ascii="Cambria Math" w:hAnsi="Cambria Math"/>
          </w:rPr>
          <m:t xml:space="preserve">f=78 </m:t>
        </m:r>
        <m:r>
          <m:rPr>
            <m:sty m:val="p"/>
          </m:rPr>
          <w:rPr>
            <w:rFonts w:ascii="Cambria Math" w:hAnsi="Cambria Math"/>
          </w:rPr>
          <m:t>Hz</m:t>
        </m:r>
      </m:oMath>
      <w:r>
        <w:t xml:space="preserve"> (see Fig. 1 right), which is not related to </w:t>
      </w:r>
      <w:proofErr w:type="spellStart"/>
      <w:r>
        <w:t>Strouhal</w:t>
      </w:r>
      <w:proofErr w:type="spellEnd"/>
      <w:r>
        <w:t xml:space="preserve"> vortex shedding. Presumably, this frequency </w:t>
      </w:r>
      <w:r w:rsidRPr="00F34755">
        <w:t>is caused by</w:t>
      </w:r>
      <w:r w:rsidR="00271DBD">
        <w:t xml:space="preserve"> flow separation at supersonic speed associated </w:t>
      </w:r>
      <w:r w:rsidR="00271DBD" w:rsidRPr="001E2241">
        <w:t xml:space="preserve">with </w:t>
      </w:r>
      <w:r w:rsidRPr="006C45E2">
        <w:t xml:space="preserve">shock wave instability </w:t>
      </w:r>
      <w:r w:rsidR="00271DBD" w:rsidRPr="006C45E2">
        <w:t>since all pressure taps on the suction side indicate pressure ratio corresponding to supersonic velocity.</w:t>
      </w:r>
      <w:r w:rsidRPr="006C45E2">
        <w:t xml:space="preserve"> </w:t>
      </w:r>
      <w:r w:rsidRPr="001E2241">
        <w:t>In the</w:t>
      </w:r>
      <w:r w:rsidRPr="00F34755">
        <w:t xml:space="preserve"> </w:t>
      </w:r>
      <w:r w:rsidR="00463BAD">
        <w:t>upcoming</w:t>
      </w:r>
      <w:r w:rsidRPr="00F34755">
        <w:t xml:space="preserve"> measurements, th</w:t>
      </w:r>
      <w:r>
        <w:t>is assumption will be verified by high-speed optical visualizations using the Schlieren or shadowgraphic methods</w:t>
      </w:r>
      <w:r w:rsidR="00463BAD">
        <w:t>. Using the blade excitation drive, the lock-in effect can be then investigated.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245"/>
      </w:tblGrid>
      <w:tr w:rsidR="007D469E" w14:paraId="00A388D8" w14:textId="77777777" w:rsidTr="007D469E">
        <w:trPr>
          <w:jc w:val="center"/>
        </w:trPr>
        <w:tc>
          <w:tcPr>
            <w:tcW w:w="9245" w:type="dxa"/>
            <w:shd w:val="clear" w:color="auto" w:fill="auto"/>
          </w:tcPr>
          <w:p w14:paraId="7144CC7F" w14:textId="77777777" w:rsidR="007D469E" w:rsidRDefault="007D469E" w:rsidP="007D469E">
            <w:pPr>
              <w:pStyle w:val="Zkladntext2"/>
              <w:ind w:firstLine="0"/>
              <w:jc w:val="center"/>
            </w:pPr>
          </w:p>
          <w:p w14:paraId="77661A85" w14:textId="77777777" w:rsidR="007D469E" w:rsidRDefault="007D469E" w:rsidP="007D469E">
            <w:pPr>
              <w:pStyle w:val="Zkladntext2"/>
              <w:ind w:firstLine="0"/>
              <w:jc w:val="center"/>
            </w:pPr>
          </w:p>
          <w:p w14:paraId="23146039" w14:textId="3B0CCF4D" w:rsidR="007D469E" w:rsidRDefault="007A06E8" w:rsidP="007D469E">
            <w:pPr>
              <w:pStyle w:val="Zkladntext2"/>
              <w:ind w:firstLine="0"/>
              <w:jc w:val="center"/>
            </w:pPr>
            <w:r w:rsidRPr="007A06E8">
              <w:lastRenderedPageBreak/>
              <w:drawing>
                <wp:anchor distT="0" distB="0" distL="114300" distR="114300" simplePos="0" relativeHeight="251661824" behindDoc="0" locked="0" layoutInCell="1" allowOverlap="1" wp14:anchorId="30EC01C9" wp14:editId="30FB8D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274955</wp:posOffset>
                  </wp:positionV>
                  <wp:extent cx="3096260" cy="1901825"/>
                  <wp:effectExtent l="0" t="0" r="8890" b="3175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260" cy="190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C52184" w14:textId="0BCFB985" w:rsidR="009019C9" w:rsidRDefault="005C36B5" w:rsidP="005C36B5">
            <w:pPr>
              <w:pStyle w:val="Zkladntext2"/>
              <w:ind w:firstLine="0"/>
            </w:pPr>
            <w:r w:rsidRPr="009019C9">
              <w:rPr>
                <w:noProof/>
                <w:lang w:val="cs-CZ" w:eastAsia="cs-CZ"/>
              </w:rPr>
              <w:drawing>
                <wp:anchor distT="0" distB="0" distL="114300" distR="114300" simplePos="0" relativeHeight="251655680" behindDoc="0" locked="0" layoutInCell="1" allowOverlap="1" wp14:anchorId="3E1380E2" wp14:editId="565F34D5">
                  <wp:simplePos x="0" y="0"/>
                  <wp:positionH relativeFrom="column">
                    <wp:posOffset>2987040</wp:posOffset>
                  </wp:positionH>
                  <wp:positionV relativeFrom="paragraph">
                    <wp:posOffset>40640</wp:posOffset>
                  </wp:positionV>
                  <wp:extent cx="2675255" cy="1045210"/>
                  <wp:effectExtent l="0" t="0" r="0" b="254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255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19C9">
              <w:rPr>
                <w:noProof/>
                <w:lang w:val="cs-CZ" w:eastAsia="cs-CZ"/>
              </w:rPr>
              <w:drawing>
                <wp:anchor distT="0" distB="0" distL="114300" distR="114300" simplePos="0" relativeHeight="251656704" behindDoc="0" locked="0" layoutInCell="1" allowOverlap="1" wp14:anchorId="468E748A" wp14:editId="0EB57877">
                  <wp:simplePos x="0" y="0"/>
                  <wp:positionH relativeFrom="column">
                    <wp:posOffset>2987675</wp:posOffset>
                  </wp:positionH>
                  <wp:positionV relativeFrom="paragraph">
                    <wp:posOffset>1132205</wp:posOffset>
                  </wp:positionV>
                  <wp:extent cx="2673350" cy="1009015"/>
                  <wp:effectExtent l="0" t="0" r="0" b="635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0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469E" w14:paraId="5C65E74C" w14:textId="77777777" w:rsidTr="007D469E">
        <w:trPr>
          <w:jc w:val="center"/>
        </w:trPr>
        <w:tc>
          <w:tcPr>
            <w:tcW w:w="9245" w:type="dxa"/>
            <w:shd w:val="clear" w:color="auto" w:fill="auto"/>
          </w:tcPr>
          <w:p w14:paraId="1CC56950" w14:textId="744CA6D2" w:rsidR="007D469E" w:rsidRPr="007D469E" w:rsidRDefault="007D469E" w:rsidP="007D469E">
            <w:pPr>
              <w:pStyle w:val="Zkladntext2"/>
              <w:ind w:firstLine="0"/>
              <w:jc w:val="center"/>
              <w:rPr>
                <w:b/>
              </w:rPr>
            </w:pPr>
            <w:r w:rsidRPr="007D469E">
              <w:rPr>
                <w:b/>
              </w:rPr>
              <w:lastRenderedPageBreak/>
              <w:t xml:space="preserve">Figure 1. </w:t>
            </w:r>
            <w:r w:rsidR="00E44ED8">
              <w:rPr>
                <w:b/>
              </w:rPr>
              <w:t xml:space="preserve">Test section with the compressor blade (left). </w:t>
            </w:r>
            <w:r w:rsidR="005C36B5">
              <w:rPr>
                <w:b/>
              </w:rPr>
              <w:t>Signal from the Kulite pressure transducer on the suction side of the blade in time and frequency dom</w:t>
            </w:r>
            <w:bookmarkStart w:id="0" w:name="_GoBack"/>
            <w:bookmarkEnd w:id="0"/>
            <w:r w:rsidR="005C36B5">
              <w:rPr>
                <w:b/>
              </w:rPr>
              <w:t xml:space="preserve">ain </w:t>
            </w:r>
            <w:r w:rsidR="00F34755">
              <w:rPr>
                <w:b/>
              </w:rPr>
              <w:t xml:space="preserve">for the case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M=0.39, θ=3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∘</m:t>
                  </m:r>
                </m:sup>
              </m:sSup>
            </m:oMath>
            <w:r w:rsidR="00F34755">
              <w:rPr>
                <w:b/>
              </w:rPr>
              <w:t xml:space="preserve"> </w:t>
            </w:r>
            <w:r w:rsidR="005C36B5">
              <w:rPr>
                <w:b/>
              </w:rPr>
              <w:t>(right).</w:t>
            </w:r>
          </w:p>
        </w:tc>
      </w:tr>
    </w:tbl>
    <w:p w14:paraId="4C672DA8" w14:textId="77777777" w:rsidR="007D469E" w:rsidRDefault="007D469E">
      <w:pPr>
        <w:pStyle w:val="Zkladntext2"/>
      </w:pPr>
    </w:p>
    <w:p w14:paraId="2D4F5C80" w14:textId="77777777" w:rsidR="007D469E" w:rsidRDefault="007D469E">
      <w:pPr>
        <w:pStyle w:val="Zkladntext2"/>
      </w:pPr>
    </w:p>
    <w:p w14:paraId="589C6581" w14:textId="77777777" w:rsidR="007D469E" w:rsidRDefault="007D469E">
      <w:pPr>
        <w:pStyle w:val="ReferencesClauseTitle"/>
      </w:pPr>
      <w:r>
        <w:t>References</w:t>
      </w:r>
    </w:p>
    <w:p w14:paraId="739C589E" w14:textId="4952AA58" w:rsidR="00E270D4" w:rsidRDefault="00E270D4" w:rsidP="00A83858">
      <w:pPr>
        <w:pStyle w:val="Zkladntext2"/>
        <w:spacing w:afterLines="60" w:after="144"/>
        <w:ind w:firstLine="0"/>
      </w:pPr>
      <w:proofErr w:type="spellStart"/>
      <w:r w:rsidRPr="00E270D4">
        <w:t>Kielb</w:t>
      </w:r>
      <w:proofErr w:type="spellEnd"/>
      <w:r w:rsidRPr="00E270D4">
        <w:t xml:space="preserve">, R.E., Barter, J.W., Thomas, J.P., Hall, K.C., 2003. Blade Excitation by Aerodynamic Instabilities: A Compressor Blade Study, in: GT2003. Volume 4: Turbo Expo 2003, pp. 399–406. </w:t>
      </w:r>
      <w:hyperlink r:id="rId13" w:history="1">
        <w:r w:rsidRPr="00441E0A">
          <w:rPr>
            <w:rStyle w:val="Hypertextovodkaz"/>
          </w:rPr>
          <w:t>https://doi.org/10.1115/GT2003-38634</w:t>
        </w:r>
      </w:hyperlink>
      <w:r>
        <w:t xml:space="preserve"> </w:t>
      </w:r>
    </w:p>
    <w:p w14:paraId="524E381B" w14:textId="53503C9C" w:rsidR="00A83858" w:rsidRDefault="00A83858" w:rsidP="00A83858">
      <w:pPr>
        <w:pStyle w:val="Zkladntext2"/>
        <w:spacing w:afterLines="60" w:after="144"/>
        <w:ind w:firstLine="0"/>
      </w:pPr>
      <w:proofErr w:type="spellStart"/>
      <w:r w:rsidRPr="00E270D4">
        <w:t>Stapelfeldt</w:t>
      </w:r>
      <w:proofErr w:type="spellEnd"/>
      <w:r w:rsidRPr="00E270D4">
        <w:t xml:space="preserve">, S., </w:t>
      </w:r>
      <w:proofErr w:type="spellStart"/>
      <w:r w:rsidRPr="00E270D4">
        <w:t>Brandstetter</w:t>
      </w:r>
      <w:proofErr w:type="spellEnd"/>
      <w:r w:rsidRPr="00E270D4">
        <w:t xml:space="preserve">, C., 2020. Non-Synchronous Vibration in Axial Compressors: Lock-in Mechanism and Semi-Analytical Model. Journal of Sound and Vibration 488, 115649. </w:t>
      </w:r>
      <w:hyperlink r:id="rId14" w:history="1">
        <w:r w:rsidRPr="00441E0A">
          <w:rPr>
            <w:rStyle w:val="Hypertextovodkaz"/>
          </w:rPr>
          <w:t>https://doi.org/10.1016/j.jsv.2020.115649</w:t>
        </w:r>
      </w:hyperlink>
      <w:r>
        <w:t xml:space="preserve"> </w:t>
      </w:r>
    </w:p>
    <w:p w14:paraId="674BA418" w14:textId="624991EA" w:rsidR="00F7593F" w:rsidRDefault="00F7593F" w:rsidP="00A83858">
      <w:pPr>
        <w:pStyle w:val="Zkladntext2"/>
        <w:spacing w:afterLines="60" w:after="144"/>
        <w:ind w:firstLine="0"/>
      </w:pPr>
      <w:r w:rsidRPr="00F7593F">
        <w:t xml:space="preserve">Lepicovsky, J., </w:t>
      </w:r>
      <w:proofErr w:type="spellStart"/>
      <w:r w:rsidRPr="00F7593F">
        <w:t>Šimurda</w:t>
      </w:r>
      <w:proofErr w:type="spellEnd"/>
      <w:r w:rsidRPr="00F7593F">
        <w:t xml:space="preserve">, D., </w:t>
      </w:r>
      <w:proofErr w:type="spellStart"/>
      <w:r w:rsidRPr="00F7593F">
        <w:t>Kielb</w:t>
      </w:r>
      <w:proofErr w:type="spellEnd"/>
      <w:r w:rsidRPr="00F7593F">
        <w:t xml:space="preserve">, R.E., Šidlof, P., </w:t>
      </w:r>
      <w:proofErr w:type="spellStart"/>
      <w:r w:rsidRPr="00F7593F">
        <w:t>Štěpán</w:t>
      </w:r>
      <w:proofErr w:type="spellEnd"/>
      <w:r w:rsidRPr="00F7593F">
        <w:t xml:space="preserve">, M., 2023. Quasi-Dynamic Approximation of Unsteady Pressure Distribution for Transonic Airfoils in Flutter. Journal of Turbomachinery 145. </w:t>
      </w:r>
      <w:hyperlink r:id="rId15" w:history="1">
        <w:r w:rsidR="005C36B5" w:rsidRPr="007D219A">
          <w:rPr>
            <w:rStyle w:val="Hypertextovodkaz"/>
          </w:rPr>
          <w:t>https://doi.org/10.1115/1.4062181</w:t>
        </w:r>
      </w:hyperlink>
    </w:p>
    <w:p w14:paraId="7F2885EF" w14:textId="05B459F4" w:rsidR="005C36B5" w:rsidRDefault="005C36B5" w:rsidP="00A83858">
      <w:pPr>
        <w:pStyle w:val="Zkladntext2"/>
        <w:spacing w:afterLines="60" w:after="144"/>
        <w:ind w:firstLine="0"/>
      </w:pPr>
      <w:r w:rsidRPr="005C36B5">
        <w:t xml:space="preserve">Schreiber, H.A. and Starken, H. (1984), Experimental Cascade Analysis of a Transonic Compressor Rotor Blade Section”, </w:t>
      </w:r>
      <w:proofErr w:type="spellStart"/>
      <w:r w:rsidRPr="005C36B5">
        <w:t>J.of</w:t>
      </w:r>
      <w:proofErr w:type="spellEnd"/>
      <w:r w:rsidRPr="005C36B5">
        <w:t xml:space="preserve"> Eng. for Gas and Power, 106, pp. 288-294.</w:t>
      </w:r>
    </w:p>
    <w:p w14:paraId="2CE2511F" w14:textId="1FEA2EF1" w:rsidR="00E270D4" w:rsidRPr="005C36B5" w:rsidRDefault="00E270D4" w:rsidP="00A83858">
      <w:pPr>
        <w:pStyle w:val="Zkladntext2"/>
        <w:spacing w:afterLines="60" w:after="144"/>
        <w:ind w:firstLine="0"/>
        <w:rPr>
          <w:lang w:val="cs-CZ"/>
        </w:rPr>
      </w:pPr>
      <w:proofErr w:type="spellStart"/>
      <w:r w:rsidRPr="005C36B5">
        <w:t>Brandstetter</w:t>
      </w:r>
      <w:proofErr w:type="spellEnd"/>
      <w:r w:rsidRPr="005C36B5">
        <w:t xml:space="preserve">, C., </w:t>
      </w:r>
      <w:proofErr w:type="spellStart"/>
      <w:r w:rsidRPr="005C36B5">
        <w:t>Stapelfeldt</w:t>
      </w:r>
      <w:proofErr w:type="spellEnd"/>
      <w:r w:rsidRPr="005C36B5">
        <w:t xml:space="preserve">, S., 2022. Near-Stall Modelling of a Pitching Airfoil at High Incidence, Mach Number and Reduced Frequency. IJTPP 7, 26. </w:t>
      </w:r>
      <w:hyperlink r:id="rId16" w:history="1">
        <w:r w:rsidRPr="005C36B5">
          <w:rPr>
            <w:rStyle w:val="Hypertextovodkaz"/>
          </w:rPr>
          <w:t>https://doi.org/10.3390/ijtpp7040026</w:t>
        </w:r>
      </w:hyperlink>
    </w:p>
    <w:p w14:paraId="0EDE6FD3" w14:textId="06749A58" w:rsidR="00243E4D" w:rsidRDefault="00243E4D" w:rsidP="00A83858">
      <w:pPr>
        <w:pStyle w:val="Zkladntext2"/>
        <w:spacing w:afterLines="60" w:after="144"/>
        <w:ind w:firstLine="0"/>
      </w:pPr>
    </w:p>
    <w:p w14:paraId="56570087" w14:textId="77777777" w:rsidR="00243E4D" w:rsidRDefault="00243E4D" w:rsidP="00243E4D">
      <w:pPr>
        <w:pStyle w:val="ReferencesClauseTitle"/>
      </w:pPr>
      <w:r>
        <w:t>acknowledgements</w:t>
      </w:r>
    </w:p>
    <w:p w14:paraId="4251C749" w14:textId="7858D5CC" w:rsidR="00243E4D" w:rsidRDefault="00243E4D" w:rsidP="00243E4D">
      <w:pPr>
        <w:pStyle w:val="Zkladntext2"/>
        <w:ind w:firstLine="0"/>
      </w:pPr>
      <w:r w:rsidRPr="00806E7C">
        <w:t xml:space="preserve">The research was supported </w:t>
      </w:r>
      <w:r>
        <w:t xml:space="preserve">by </w:t>
      </w:r>
      <w:r w:rsidRPr="00806E7C">
        <w:t xml:space="preserve">project </w:t>
      </w:r>
      <w:r>
        <w:t>M</w:t>
      </w:r>
      <w:r>
        <w:rPr>
          <w:lang w:val="cs-CZ"/>
        </w:rPr>
        <w:t xml:space="preserve">ŠMT Inter-Excellence </w:t>
      </w:r>
      <w:r w:rsidRPr="00243E4D">
        <w:t>LUAUS23231</w:t>
      </w:r>
      <w:r w:rsidRPr="00806E7C">
        <w:t xml:space="preserve"> </w:t>
      </w:r>
      <w:r w:rsidRPr="00243E4D">
        <w:rPr>
          <w:i/>
        </w:rPr>
        <w:t>Origins and mechanisms of flutter and non-synchronous vibration in modern turbomachines operating at wide range of regimes</w:t>
      </w:r>
      <w:r w:rsidRPr="00806E7C">
        <w:rPr>
          <w:i/>
        </w:rPr>
        <w:t>.</w:t>
      </w:r>
    </w:p>
    <w:sectPr w:rsidR="00243E4D" w:rsidSect="007D469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95424" w14:textId="77777777" w:rsidR="005625E5" w:rsidRDefault="005625E5">
      <w:r>
        <w:separator/>
      </w:r>
    </w:p>
  </w:endnote>
  <w:endnote w:type="continuationSeparator" w:id="0">
    <w:p w14:paraId="058B6E3E" w14:textId="77777777" w:rsidR="005625E5" w:rsidRDefault="0056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FDAEB" w14:textId="340425A6" w:rsidR="007D469E" w:rsidRDefault="007D469E" w:rsidP="00C73411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A63C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</w:r>
    <w:r w:rsidR="00363232">
      <w:rPr>
        <w:rStyle w:val="slostrnky"/>
        <w:rFonts w:ascii="Arial" w:hAnsi="Arial" w:cs="Arial"/>
        <w:sz w:val="20"/>
        <w:lang w:val="en-US"/>
      </w:rPr>
      <w:t>Haifa</w:t>
    </w:r>
    <w:r w:rsidR="00067D57">
      <w:rPr>
        <w:rStyle w:val="slostrnky"/>
        <w:rFonts w:ascii="Arial" w:hAnsi="Arial" w:cs="Arial"/>
        <w:sz w:val="20"/>
        <w:lang w:val="en-US"/>
      </w:rPr>
      <w:t xml:space="preserve">, </w:t>
    </w:r>
    <w:r w:rsidR="00363232">
      <w:rPr>
        <w:rStyle w:val="slostrnky"/>
        <w:rFonts w:ascii="Arial" w:hAnsi="Arial" w:cs="Arial"/>
        <w:sz w:val="20"/>
        <w:lang w:val="en-US"/>
      </w:rPr>
      <w:t>Israel</w:t>
    </w:r>
    <w:r w:rsidR="0027233E">
      <w:rPr>
        <w:rStyle w:val="slostrnky"/>
        <w:rFonts w:ascii="Arial" w:hAnsi="Arial" w:cs="Arial"/>
        <w:sz w:val="20"/>
      </w:rPr>
      <w:tab/>
    </w:r>
    <w:r w:rsidR="0027233E">
      <w:rPr>
        <w:rStyle w:val="slostrnky"/>
        <w:rFonts w:ascii="Arial" w:hAnsi="Arial" w:cs="Arial"/>
        <w:sz w:val="20"/>
      </w:rPr>
      <w:tab/>
    </w:r>
    <w:r w:rsidR="00A33E7F">
      <w:rPr>
        <w:rStyle w:val="slostrnky"/>
        <w:rFonts w:ascii="Arial" w:hAnsi="Arial" w:cs="Arial"/>
        <w:sz w:val="20"/>
      </w:rPr>
      <w:t>14</w:t>
    </w:r>
    <w:r w:rsidR="00067D57">
      <w:rPr>
        <w:rStyle w:val="slostrnky"/>
        <w:rFonts w:ascii="Arial" w:hAnsi="Arial" w:cs="Arial"/>
        <w:sz w:val="20"/>
      </w:rPr>
      <w:t xml:space="preserve"> – </w:t>
    </w:r>
    <w:r w:rsidR="00A33E7F">
      <w:rPr>
        <w:rStyle w:val="slostrnky"/>
        <w:rFonts w:ascii="Arial" w:hAnsi="Arial" w:cs="Arial"/>
        <w:sz w:val="20"/>
      </w:rPr>
      <w:t>16</w:t>
    </w:r>
    <w:r w:rsidR="00067D57">
      <w:rPr>
        <w:rStyle w:val="slostrnky"/>
        <w:rFonts w:ascii="Arial" w:hAnsi="Arial" w:cs="Arial"/>
        <w:sz w:val="20"/>
      </w:rPr>
      <w:t xml:space="preserve"> </w:t>
    </w:r>
    <w:r w:rsidR="00363232">
      <w:rPr>
        <w:rStyle w:val="slostrnky"/>
        <w:rFonts w:ascii="Arial" w:hAnsi="Arial" w:cs="Arial"/>
        <w:sz w:val="20"/>
      </w:rPr>
      <w:t>November</w:t>
    </w:r>
    <w:r>
      <w:rPr>
        <w:rStyle w:val="slostrnky"/>
        <w:rFonts w:ascii="Arial" w:hAnsi="Arial" w:cs="Arial"/>
        <w:sz w:val="20"/>
      </w:rPr>
      <w:t xml:space="preserve"> 20</w:t>
    </w:r>
    <w:r w:rsidR="00067D57">
      <w:rPr>
        <w:rStyle w:val="slostrnky"/>
        <w:rFonts w:ascii="Arial" w:hAnsi="Arial" w:cs="Arial"/>
        <w:sz w:val="20"/>
      </w:rPr>
      <w:t>2</w:t>
    </w:r>
    <w:r w:rsidR="00363232">
      <w:rPr>
        <w:rStyle w:val="slostrnky"/>
        <w:rFonts w:ascii="Arial" w:hAnsi="Arial" w:cs="Arial"/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CB9B" w14:textId="6F5A3912" w:rsidR="007D469E" w:rsidRDefault="007D469E" w:rsidP="007D1A84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A63CB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</w:r>
    <w:r w:rsidR="007D1A84">
      <w:rPr>
        <w:rStyle w:val="slostrnky"/>
        <w:rFonts w:ascii="Arial" w:hAnsi="Arial" w:cs="Arial"/>
        <w:sz w:val="20"/>
        <w:lang w:val="en-US"/>
      </w:rPr>
      <w:t>Pisa, Italy</w:t>
    </w:r>
    <w:r w:rsidR="007D1A84">
      <w:rPr>
        <w:rStyle w:val="slostrnky"/>
        <w:rFonts w:ascii="Arial" w:hAnsi="Arial" w:cs="Arial"/>
        <w:sz w:val="20"/>
      </w:rPr>
      <w:tab/>
    </w:r>
    <w:r w:rsidR="007D1A84">
      <w:rPr>
        <w:rStyle w:val="slostrnky"/>
        <w:rFonts w:ascii="Arial" w:hAnsi="Arial" w:cs="Arial"/>
        <w:sz w:val="20"/>
      </w:rPr>
      <w:tab/>
      <w:t>28 – 30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65481" w14:textId="77777777" w:rsidR="005625E5" w:rsidRDefault="005625E5">
      <w:r>
        <w:separator/>
      </w:r>
    </w:p>
  </w:footnote>
  <w:footnote w:type="continuationSeparator" w:id="0">
    <w:p w14:paraId="4FE0F577" w14:textId="77777777" w:rsidR="005625E5" w:rsidRDefault="0056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B63E" w14:textId="0A85186E" w:rsidR="00D824BE" w:rsidRDefault="00D824BE" w:rsidP="007D469E">
    <w:pPr>
      <w:pStyle w:val="Zhlav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="00363232">
      <w:rPr>
        <w:rFonts w:ascii="Arial" w:hAnsi="Arial" w:cs="Arial"/>
        <w:sz w:val="20"/>
      </w:rPr>
      <w:t>I</w:t>
    </w:r>
    <w:r w:rsidR="007D1A84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 xml:space="preserve"> Bi</w:t>
    </w:r>
    <w:r w:rsidR="00791559"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 w:rsidR="00791559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7D469E" w:rsidRDefault="007D469E" w:rsidP="007D469E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50C38" w14:textId="60D21D70" w:rsidR="007D1A84" w:rsidRDefault="007D1A84" w:rsidP="007D1A84">
    <w:pPr>
      <w:pStyle w:val="Zhlav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>
      <w:rPr>
        <w:rFonts w:ascii="Arial" w:hAnsi="Arial" w:cs="Arial"/>
        <w:sz w:val="20"/>
      </w:rPr>
      <w:t>VI</w:t>
    </w:r>
    <w:r w:rsidRPr="00D824BE">
      <w:rPr>
        <w:rFonts w:ascii="Arial" w:hAnsi="Arial" w:cs="Arial"/>
        <w:sz w:val="20"/>
      </w:rPr>
      <w:t xml:space="preserve"> Bi</w:t>
    </w:r>
    <w:r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6492B90D" w14:textId="77777777" w:rsidR="007D1A84" w:rsidRDefault="007D1A84" w:rsidP="007D1A84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  <w:p w14:paraId="35B89CFA" w14:textId="68824A30" w:rsidR="007D469E" w:rsidRPr="007D1A84" w:rsidRDefault="007D469E" w:rsidP="007D1A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153"/>
    <w:rsid w:val="00040C05"/>
    <w:rsid w:val="00055036"/>
    <w:rsid w:val="00067D57"/>
    <w:rsid w:val="000B2163"/>
    <w:rsid w:val="000B651A"/>
    <w:rsid w:val="00137880"/>
    <w:rsid w:val="00142E95"/>
    <w:rsid w:val="001E2241"/>
    <w:rsid w:val="00243E4D"/>
    <w:rsid w:val="00271DBD"/>
    <w:rsid w:val="0027233E"/>
    <w:rsid w:val="002A393B"/>
    <w:rsid w:val="002A63CB"/>
    <w:rsid w:val="00330BF8"/>
    <w:rsid w:val="00333646"/>
    <w:rsid w:val="00363232"/>
    <w:rsid w:val="003A2321"/>
    <w:rsid w:val="003D5D56"/>
    <w:rsid w:val="00404301"/>
    <w:rsid w:val="00430DCA"/>
    <w:rsid w:val="00463BAD"/>
    <w:rsid w:val="00537DC4"/>
    <w:rsid w:val="00562188"/>
    <w:rsid w:val="005625E5"/>
    <w:rsid w:val="00570BA1"/>
    <w:rsid w:val="005C36B5"/>
    <w:rsid w:val="00611419"/>
    <w:rsid w:val="00617789"/>
    <w:rsid w:val="006211FC"/>
    <w:rsid w:val="00656DBD"/>
    <w:rsid w:val="006C45E2"/>
    <w:rsid w:val="006E264D"/>
    <w:rsid w:val="00791559"/>
    <w:rsid w:val="007A06E8"/>
    <w:rsid w:val="007A6153"/>
    <w:rsid w:val="007D1A84"/>
    <w:rsid w:val="007D469E"/>
    <w:rsid w:val="008D76C5"/>
    <w:rsid w:val="008F5DA3"/>
    <w:rsid w:val="009019C9"/>
    <w:rsid w:val="00903B53"/>
    <w:rsid w:val="0092212D"/>
    <w:rsid w:val="00930D6E"/>
    <w:rsid w:val="00931635"/>
    <w:rsid w:val="009F5030"/>
    <w:rsid w:val="009F585A"/>
    <w:rsid w:val="00A33E7F"/>
    <w:rsid w:val="00A53A3B"/>
    <w:rsid w:val="00A83858"/>
    <w:rsid w:val="00AD578F"/>
    <w:rsid w:val="00B47D74"/>
    <w:rsid w:val="00B95600"/>
    <w:rsid w:val="00B962DF"/>
    <w:rsid w:val="00BF32E0"/>
    <w:rsid w:val="00C1685E"/>
    <w:rsid w:val="00C55A25"/>
    <w:rsid w:val="00C73411"/>
    <w:rsid w:val="00CF348E"/>
    <w:rsid w:val="00D13B06"/>
    <w:rsid w:val="00D66CB4"/>
    <w:rsid w:val="00D824BE"/>
    <w:rsid w:val="00DD22E9"/>
    <w:rsid w:val="00E270D4"/>
    <w:rsid w:val="00E44ED8"/>
    <w:rsid w:val="00F10B1D"/>
    <w:rsid w:val="00F34755"/>
    <w:rsid w:val="00F7593F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9AB51D1"/>
  <w15:docId w15:val="{0746306D-7A3F-4021-9EA0-7EB19A6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obrzk">
    <w:name w:val="table of figures"/>
    <w:aliases w:val="Table of Tables"/>
    <w:basedOn w:val="Normln"/>
    <w:next w:val="Normln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Zkladntext2">
    <w:name w:val="Body Text 2"/>
    <w:basedOn w:val="Normln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ln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Nzev">
    <w:name w:val="Title"/>
    <w:basedOn w:val="Normln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Zpat">
    <w:name w:val="footer"/>
    <w:basedOn w:val="Normln"/>
    <w:link w:val="Zpat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7D1A84"/>
    <w:rPr>
      <w:sz w:val="24"/>
      <w:szCs w:val="24"/>
      <w:lang w:val="en-GB"/>
    </w:rPr>
  </w:style>
  <w:style w:type="character" w:customStyle="1" w:styleId="ZpatChar">
    <w:name w:val="Zápatí Char"/>
    <w:basedOn w:val="Standardnpsmoodstavce"/>
    <w:link w:val="Zpat"/>
    <w:rsid w:val="007D1A84"/>
    <w:rPr>
      <w:sz w:val="24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E270D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70D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F7593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D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DB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A63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3CB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3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3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63C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9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850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890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i.org/10.1115/GT2003-386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3390/ijtpp7040026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https://doi.org/10.1115/1.4062181" TargetMode="Externa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doi.org/10.1016/j.jsv.2020.115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PUT PAPER TITLE HERE</vt:lpstr>
      <vt:lpstr>PUT PAPER TITLE HERE</vt:lpstr>
      <vt:lpstr>PUT PAPER TITLE HERE</vt:lpstr>
    </vt:vector>
  </TitlesOfParts>
  <Company>KTH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creator>Administrator</dc:creator>
  <cp:lastModifiedBy>sidlof</cp:lastModifiedBy>
  <cp:revision>5</cp:revision>
  <dcterms:created xsi:type="dcterms:W3CDTF">2023-09-14T19:34:00Z</dcterms:created>
  <dcterms:modified xsi:type="dcterms:W3CDTF">2023-09-15T13:47:00Z</dcterms:modified>
</cp:coreProperties>
</file>