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0A2A2" w14:textId="63A25BEC" w:rsidR="00D65C5F" w:rsidRDefault="00BF7F08" w:rsidP="00D65C5F">
      <w:pPr>
        <w:rPr>
          <w:b/>
          <w:bCs/>
          <w:caps/>
          <w:kern w:val="14"/>
          <w:sz w:val="24"/>
          <w:szCs w:val="20"/>
        </w:rPr>
      </w:pPr>
      <w:r>
        <w:rPr>
          <w:b/>
          <w:bCs/>
          <w:caps/>
          <w:kern w:val="14"/>
          <w:sz w:val="24"/>
          <w:szCs w:val="20"/>
        </w:rPr>
        <w:t xml:space="preserve"> </w:t>
      </w:r>
    </w:p>
    <w:p w14:paraId="0917A2CD" w14:textId="04445D37" w:rsidR="00E30073" w:rsidRPr="00DD754E" w:rsidRDefault="00224934" w:rsidP="00E04795">
      <w:pPr>
        <w:ind w:left="90" w:right="119"/>
        <w:jc w:val="center"/>
        <w:rPr>
          <w:b/>
          <w:bCs/>
          <w:caps/>
          <w:kern w:val="14"/>
          <w:sz w:val="23"/>
          <w:szCs w:val="23"/>
        </w:rPr>
      </w:pPr>
      <w:r w:rsidRPr="00DD754E">
        <w:rPr>
          <w:b/>
          <w:bCs/>
          <w:caps/>
          <w:kern w:val="14"/>
          <w:sz w:val="23"/>
          <w:szCs w:val="23"/>
        </w:rPr>
        <w:t xml:space="preserve">an alternative </w:t>
      </w:r>
      <w:r w:rsidR="00D65C5F" w:rsidRPr="00DD754E">
        <w:rPr>
          <w:b/>
          <w:bCs/>
          <w:caps/>
          <w:kern w:val="14"/>
          <w:sz w:val="23"/>
          <w:szCs w:val="23"/>
        </w:rPr>
        <w:t xml:space="preserve">POST-PROCESSING </w:t>
      </w:r>
      <w:r w:rsidRPr="00DD754E">
        <w:rPr>
          <w:b/>
          <w:bCs/>
          <w:caps/>
          <w:kern w:val="14"/>
          <w:sz w:val="23"/>
          <w:szCs w:val="23"/>
        </w:rPr>
        <w:t>of</w:t>
      </w:r>
      <w:r w:rsidR="00281D04" w:rsidRPr="00DD754E">
        <w:rPr>
          <w:b/>
          <w:bCs/>
          <w:caps/>
          <w:kern w:val="14"/>
          <w:sz w:val="23"/>
          <w:szCs w:val="23"/>
        </w:rPr>
        <w:t xml:space="preserve"> </w:t>
      </w:r>
      <w:r w:rsidR="00123E3E" w:rsidRPr="00DD754E">
        <w:rPr>
          <w:b/>
          <w:bCs/>
          <w:caps/>
          <w:kern w:val="14"/>
          <w:sz w:val="23"/>
          <w:szCs w:val="23"/>
        </w:rPr>
        <w:t xml:space="preserve">transient </w:t>
      </w:r>
      <w:r w:rsidRPr="00DD754E">
        <w:rPr>
          <w:b/>
          <w:bCs/>
          <w:caps/>
          <w:kern w:val="14"/>
          <w:sz w:val="23"/>
          <w:szCs w:val="23"/>
        </w:rPr>
        <w:t xml:space="preserve">LIQUID CRYSTAL </w:t>
      </w:r>
      <w:r w:rsidR="00097B33" w:rsidRPr="00DD754E">
        <w:rPr>
          <w:b/>
          <w:bCs/>
          <w:caps/>
          <w:kern w:val="14"/>
          <w:sz w:val="23"/>
          <w:szCs w:val="23"/>
        </w:rPr>
        <w:t xml:space="preserve">EXPERIMENTS </w:t>
      </w:r>
      <w:r w:rsidR="00946319">
        <w:rPr>
          <w:b/>
          <w:bCs/>
          <w:caps/>
          <w:kern w:val="14"/>
          <w:sz w:val="23"/>
          <w:szCs w:val="23"/>
        </w:rPr>
        <w:t>using</w:t>
      </w:r>
      <w:r w:rsidR="00E04795">
        <w:rPr>
          <w:b/>
          <w:bCs/>
          <w:caps/>
          <w:kern w:val="14"/>
          <w:sz w:val="23"/>
          <w:szCs w:val="23"/>
        </w:rPr>
        <w:t xml:space="preserve"> the </w:t>
      </w:r>
      <w:r w:rsidR="00DD754E" w:rsidRPr="00DD754E">
        <w:rPr>
          <w:b/>
          <w:bCs/>
          <w:caps/>
          <w:kern w:val="14"/>
          <w:sz w:val="23"/>
          <w:szCs w:val="23"/>
        </w:rPr>
        <w:t>wall temperature gradient</w:t>
      </w:r>
      <w:r w:rsidR="00E04795">
        <w:rPr>
          <w:b/>
          <w:bCs/>
          <w:caps/>
          <w:kern w:val="14"/>
          <w:sz w:val="23"/>
          <w:szCs w:val="23"/>
        </w:rPr>
        <w:t xml:space="preserve"> time response</w:t>
      </w:r>
    </w:p>
    <w:p w14:paraId="496EA9B6" w14:textId="6BD60D47" w:rsidR="00E30073" w:rsidRDefault="00E30073"/>
    <w:tbl>
      <w:tblPr>
        <w:tblW w:w="5472" w:type="dxa"/>
        <w:jc w:val="center"/>
        <w:tblLayout w:type="fixed"/>
        <w:tblLook w:val="0000" w:firstRow="0" w:lastRow="0" w:firstColumn="0" w:lastColumn="0" w:noHBand="0" w:noVBand="0"/>
      </w:tblPr>
      <w:tblGrid>
        <w:gridCol w:w="5472"/>
      </w:tblGrid>
      <w:tr w:rsidR="00D65C5F" w14:paraId="5C7E3CA7" w14:textId="77777777" w:rsidTr="00CB6334">
        <w:trPr>
          <w:jc w:val="center"/>
        </w:trPr>
        <w:tc>
          <w:tcPr>
            <w:tcW w:w="5472" w:type="dxa"/>
          </w:tcPr>
          <w:p w14:paraId="3D086BE8" w14:textId="48AA072B" w:rsidR="00D65C5F" w:rsidRDefault="00D65C5F">
            <w:pPr>
              <w:pStyle w:val="Affiliation"/>
              <w:rPr>
                <w:b/>
                <w:bCs/>
              </w:rPr>
            </w:pPr>
            <w:r w:rsidRPr="00CB6334">
              <w:rPr>
                <w:b/>
                <w:bCs/>
              </w:rPr>
              <w:t>Alexandros Peteinaris, Ohad Haftka, Alexandros Terzis</w:t>
            </w:r>
          </w:p>
          <w:p w14:paraId="3DE1DFE7" w14:textId="4AABEB04" w:rsidR="00CB6334" w:rsidRPr="00CB6334" w:rsidRDefault="00CB6334">
            <w:pPr>
              <w:pStyle w:val="Affiliation"/>
            </w:pPr>
            <w:r w:rsidRPr="00CB6334">
              <w:t>Thermo-Fluids &amp; Interfaces Lab</w:t>
            </w:r>
          </w:p>
          <w:p w14:paraId="1A8A6674" w14:textId="77777777" w:rsidR="00D65C5F" w:rsidRPr="00CB6334" w:rsidRDefault="00D65C5F" w:rsidP="00D65C5F">
            <w:pPr>
              <w:pStyle w:val="Affiliation"/>
            </w:pPr>
            <w:r w:rsidRPr="00CB6334">
              <w:t>Faculty of Aerospace Engineering</w:t>
            </w:r>
          </w:p>
          <w:p w14:paraId="30A7EDDF" w14:textId="77777777" w:rsidR="00D65C5F" w:rsidRPr="00CB6334" w:rsidRDefault="00D65C5F" w:rsidP="00D65C5F">
            <w:pPr>
              <w:pStyle w:val="Affiliation"/>
            </w:pPr>
            <w:r w:rsidRPr="00CB6334">
              <w:t>Technion – Israel Institute of Technology</w:t>
            </w:r>
          </w:p>
          <w:p w14:paraId="5090ECAD" w14:textId="6264E691" w:rsidR="00D65C5F" w:rsidRPr="00CB6334" w:rsidRDefault="00EE1492" w:rsidP="00D65C5F">
            <w:pPr>
              <w:pStyle w:val="Affiliation"/>
            </w:pPr>
            <w:r w:rsidRPr="00CB6334">
              <w:t>Haifa</w:t>
            </w:r>
            <w:r>
              <w:t>,</w:t>
            </w:r>
            <w:r w:rsidRPr="00CB6334">
              <w:t xml:space="preserve"> </w:t>
            </w:r>
            <w:r w:rsidR="00D65C5F" w:rsidRPr="00CB6334">
              <w:t>3200003, Israel</w:t>
            </w:r>
          </w:p>
          <w:p w14:paraId="07206E23" w14:textId="1DA4A66A" w:rsidR="00D65C5F" w:rsidRDefault="00D65C5F" w:rsidP="00D65C5F">
            <w:pPr>
              <w:pStyle w:val="Affiliation"/>
            </w:pPr>
          </w:p>
        </w:tc>
      </w:tr>
    </w:tbl>
    <w:p w14:paraId="71E9C335" w14:textId="77777777" w:rsidR="007D469E" w:rsidRDefault="007D469E">
      <w:pPr>
        <w:pStyle w:val="AbstractClauseTitle"/>
        <w:sectPr w:rsidR="007D469E">
          <w:headerReference w:type="default" r:id="rId7"/>
          <w:footerReference w:type="default" r:id="rId8"/>
          <w:pgSz w:w="11909" w:h="16834" w:code="9"/>
          <w:pgMar w:top="1440" w:right="1440" w:bottom="1440" w:left="1440" w:header="720" w:footer="720" w:gutter="0"/>
          <w:cols w:space="720"/>
          <w:docGrid w:linePitch="360"/>
        </w:sectPr>
      </w:pPr>
    </w:p>
    <w:p w14:paraId="6411A235" w14:textId="77777777" w:rsidR="007D469E" w:rsidRDefault="007D469E">
      <w:pPr>
        <w:pStyle w:val="AbstractClauseTitle"/>
      </w:pPr>
      <w:r>
        <w:t>Abstract</w:t>
      </w:r>
    </w:p>
    <w:p w14:paraId="5A538378" w14:textId="5B7F4F51" w:rsidR="00894AE2" w:rsidRDefault="00894AE2" w:rsidP="00044FE6">
      <w:pPr>
        <w:pStyle w:val="BodyText2"/>
      </w:pPr>
      <w:bookmarkStart w:id="0" w:name="_Hlk111217580"/>
      <w:r>
        <w:t xml:space="preserve">In this study, an alternative method </w:t>
      </w:r>
      <w:r w:rsidR="00D509C8">
        <w:t xml:space="preserve">is presented </w:t>
      </w:r>
      <w:r>
        <w:t xml:space="preserve">for the fast evaluation of the experimental results of transient heat transfer measurements with thermochromic liquid crystals. The calibration of the liquid crystals has been considered essential to obtain accurate heat transfer coefficient measurements. Nevertheless, it remains a difficult and time-consuming procedure. Therefore, it is proposed to bypass it, by utilizing the </w:t>
      </w:r>
      <w:r w:rsidR="0079044C">
        <w:t xml:space="preserve">evolution of the wall temperature gradient under the </w:t>
      </w:r>
      <w:r>
        <w:t xml:space="preserve">assumption of a semi-infinite </w:t>
      </w:r>
      <w:r w:rsidR="0079044C">
        <w:t>solid</w:t>
      </w:r>
      <w:r>
        <w:t xml:space="preserve">. The calculation of the wall temperature gradient necessitates the use of the </w:t>
      </w:r>
      <w:r w:rsidR="00CD55FA">
        <w:t xml:space="preserve">maximum </w:t>
      </w:r>
      <w:r w:rsidR="00D509C8">
        <w:t>color</w:t>
      </w:r>
      <w:r w:rsidR="00CD55FA">
        <w:t xml:space="preserve"> intensity of the </w:t>
      </w:r>
      <w:r>
        <w:t xml:space="preserve">red and green </w:t>
      </w:r>
      <w:r w:rsidR="00CD55FA">
        <w:t>signals</w:t>
      </w:r>
      <w:r>
        <w:t xml:space="preserve"> </w:t>
      </w:r>
      <w:r w:rsidR="004C7DCA">
        <w:t xml:space="preserve">of </w:t>
      </w:r>
      <w:r w:rsidR="00CD55FA">
        <w:t xml:space="preserve">the </w:t>
      </w:r>
      <w:r w:rsidR="004C7DCA">
        <w:t>liquid crystals</w:t>
      </w:r>
      <w:r>
        <w:t xml:space="preserve">. Along with the determination of the time at which these colors reach their peak intensity, </w:t>
      </w:r>
      <w:r w:rsidR="001453F3">
        <w:t xml:space="preserve">for narrow bandwidth liquid crystals, i.e. less than 1 K, </w:t>
      </w:r>
      <w:r>
        <w:t xml:space="preserve">the temperature difference between </w:t>
      </w:r>
      <w:r w:rsidR="001453F3">
        <w:t>R and G max intensities</w:t>
      </w:r>
      <w:r>
        <w:t xml:space="preserve"> is </w:t>
      </w:r>
      <w:r w:rsidR="001453F3">
        <w:t>considered</w:t>
      </w:r>
      <w:r>
        <w:t xml:space="preserve"> 0.3 K</w:t>
      </w:r>
      <w:r w:rsidR="001453F3">
        <w:t xml:space="preserve"> based on a wide range of open literature sources</w:t>
      </w:r>
      <w:r>
        <w:t>. Eventually, the calculation of the heat transfer coefficient is feasible. This approach was tested on a</w:t>
      </w:r>
      <w:r w:rsidR="001453F3">
        <w:t xml:space="preserve"> high-crossflow</w:t>
      </w:r>
      <w:r>
        <w:t xml:space="preserve"> </w:t>
      </w:r>
      <w:r w:rsidR="00FA5D4D">
        <w:t xml:space="preserve">narrow </w:t>
      </w:r>
      <w:r w:rsidR="001453F3">
        <w:t>impingement channel</w:t>
      </w:r>
      <w:r>
        <w:t xml:space="preserve"> </w:t>
      </w:r>
      <w:r w:rsidR="001453F3">
        <w:t>that consists of a double row of ten jets</w:t>
      </w:r>
      <w:r>
        <w:t>. The possession of the calibration curves of the liquid crystals, in advance, allows for the cross-evaluation of the method. Filtering and fitting on the obtained data have been applied. The results demonstrate that, despite evident differences locally, the suggested method is in sufficiently good agreement with the values of the temperature wall gradient, when it is compared with the values of the calibrated liquid crystals. This agreement further extends at the heat transfer coefficient calculations, too. In particular, in highly transient cases, where the time constant is very low, the average heat transfer coefficient of a surface though this approach is within 5% of the respective value, which would be obtained, if the calibration of the liquid crystals had preceded.</w:t>
      </w:r>
    </w:p>
    <w:bookmarkEnd w:id="0"/>
    <w:p w14:paraId="0151206C" w14:textId="0669C195" w:rsidR="007D469E" w:rsidRDefault="007D469E">
      <w:pPr>
        <w:pStyle w:val="BodyText2"/>
      </w:pPr>
    </w:p>
    <w:p w14:paraId="205582DD" w14:textId="77777777" w:rsidR="007D469E" w:rsidRDefault="007D469E">
      <w:pPr>
        <w:pStyle w:val="AbstractClauseTitle"/>
      </w:pPr>
      <w:r>
        <w:t>introduction</w:t>
      </w:r>
    </w:p>
    <w:p w14:paraId="277ADDAF" w14:textId="4D45FCB7" w:rsidR="00894AE2" w:rsidRDefault="00894AE2" w:rsidP="00894AE2">
      <w:pPr>
        <w:pStyle w:val="BodyText2"/>
        <w:spacing w:after="240"/>
      </w:pPr>
      <w:r>
        <w:t>An established method for the calculation of the heat transfer coefficients in transient heat transfer experiments incorporates the use of thermochromic liquid crystals</w:t>
      </w:r>
      <w:r w:rsidR="00867283">
        <w:fldChar w:fldCharType="begin" w:fldLock="1"/>
      </w:r>
      <w:r w:rsidR="00867283">
        <w:instrText>ADDIN CSL_CITATION {"citationItems":[{"id":"ITEM-1","itemData":{"DOI":"10.1088/0957-0233/11/7/313","ISSN":"09570233","abstract":"Liquid crystals have become an accurate and convenient means of measuring surface temperature and heat transfer for the gas turbine and heat transfer research communities. The measurement of surface shear stress using liquid crystals is finding increasing favour with aerodynamicists and developments in these techniques ensure that liquid crystals will continue to provide key thermal and shear stress data in the future. The increasing use of three-dimensional finite element computational models has allowed industry to capitalize on the advantages of the full surface data generated. The paper reviews the use of these complex materials in research with a special emphasis on recent developments in the field. The aim is to provide the reader with an up to date background in this measurement technology and allow the researcher to decide whether liquid crystals would be suitable in specific applications.","author":[{"dropping-particle":"","family":"Ireland","given":"P. T.","non-dropping-particle":"","parse-names":false,"suffix":""},{"dropping-particle":"V.","family":"Jones","given":"T.","non-dropping-particle":"","parse-names":false,"suffix":""}],"container-title":"Measurement Science and Technology","id":"ITEM-1","issue":"7","issued":{"date-parts":[["2000"]]},"page":"969-986","title":"Liquid crystal measurements of heat transfer and surface shear stress","type":"article-journal","volume":"11"},"uris":["http://www.mendeley.com/documents/?uuid=dabac02c-f6d2-4ade-a239-af7c721e4d8f"]}],"mendeley":{"formattedCitation":"[1]","plainTextFormattedCitation":"[1]","previouslyFormattedCitation":"[1]"},"properties":{"noteIndex":0},"schema":"https://github.com/citation-style-language/schema/raw/master/csl-citation.json"}</w:instrText>
      </w:r>
      <w:r w:rsidR="00867283">
        <w:fldChar w:fldCharType="separate"/>
      </w:r>
      <w:r w:rsidR="00867283" w:rsidRPr="00867283">
        <w:rPr>
          <w:noProof/>
        </w:rPr>
        <w:t>[1]</w:t>
      </w:r>
      <w:r w:rsidR="00867283">
        <w:fldChar w:fldCharType="end"/>
      </w:r>
      <w:r>
        <w:t xml:space="preserve">. For the calculation of the heat transfer coefficient, on a surface subjected to a convective flow, the temperature distribution in the medium is described by the semi-infinite body approximation. When lateral conduction phenomena are considered negligible, the heat transfer within the medium can be described by Fourier’s 1-D conduction </w:t>
      </w:r>
      <w:r w:rsidR="00867283">
        <w:t>law</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8030"/>
        <w:gridCol w:w="500"/>
      </w:tblGrid>
      <w:tr w:rsidR="00894AE2" w14:paraId="517DB527" w14:textId="77777777" w:rsidTr="00894AE2">
        <w:tc>
          <w:tcPr>
            <w:tcW w:w="276" w:type="pct"/>
          </w:tcPr>
          <w:p w14:paraId="2F974902" w14:textId="77777777" w:rsidR="00894AE2" w:rsidRDefault="00894AE2" w:rsidP="00B940E4">
            <w:pPr>
              <w:pStyle w:val="BodyText2"/>
              <w:spacing w:before="240" w:after="240"/>
              <w:ind w:firstLine="0"/>
            </w:pPr>
            <w:bookmarkStart w:id="1" w:name="_Hlk111198827"/>
          </w:p>
        </w:tc>
        <w:tc>
          <w:tcPr>
            <w:tcW w:w="4447" w:type="pct"/>
            <w:vAlign w:val="center"/>
          </w:tcPr>
          <w:p w14:paraId="59D8A1AC" w14:textId="77777777" w:rsidR="00894AE2" w:rsidRPr="00894AE2" w:rsidRDefault="00000000" w:rsidP="00B940E4">
            <w:pPr>
              <w:pStyle w:val="BodyText2"/>
              <w:jc w:val="center"/>
              <w:rPr>
                <w:rFonts w:asciiTheme="majorBidi" w:hAnsiTheme="majorBidi" w:cstheme="majorBidi"/>
              </w:rPr>
            </w:pPr>
            <m:oMathPara>
              <m:oMath>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LC</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0</m:t>
                        </m:r>
                      </m:sub>
                    </m:sSub>
                  </m:num>
                  <m:den>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g</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0</m:t>
                        </m:r>
                      </m:sub>
                    </m:sSub>
                  </m:den>
                </m:f>
                <m:r>
                  <w:rPr>
                    <w:rFonts w:ascii="Cambria Math" w:hAnsi="Cambria Math" w:cstheme="majorBidi"/>
                  </w:rPr>
                  <m:t>=1-</m:t>
                </m:r>
                <m:func>
                  <m:funcPr>
                    <m:ctrlPr>
                      <w:rPr>
                        <w:rFonts w:ascii="Cambria Math" w:hAnsi="Cambria Math" w:cstheme="majorBidi"/>
                        <w:i/>
                      </w:rPr>
                    </m:ctrlPr>
                  </m:funcPr>
                  <m:fName>
                    <m:r>
                      <m:rPr>
                        <m:sty m:val="p"/>
                      </m:rPr>
                      <w:rPr>
                        <w:rFonts w:ascii="Cambria Math" w:hAnsi="Cambria Math" w:cstheme="majorBidi"/>
                      </w:rPr>
                      <m:t>exp</m:t>
                    </m:r>
                  </m:fName>
                  <m:e>
                    <m:d>
                      <m:dPr>
                        <m:ctrlPr>
                          <w:rPr>
                            <w:rFonts w:ascii="Cambria Math" w:hAnsi="Cambria Math" w:cstheme="majorBidi"/>
                            <w:i/>
                          </w:rPr>
                        </m:ctrlPr>
                      </m:dPr>
                      <m:e>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h</m:t>
                                </m:r>
                              </m:e>
                              <m:sup>
                                <m:r>
                                  <w:rPr>
                                    <w:rFonts w:ascii="Cambria Math" w:hAnsi="Cambria Math" w:cstheme="majorBidi"/>
                                  </w:rPr>
                                  <m:t>2</m:t>
                                </m:r>
                              </m:sup>
                            </m:sSup>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LC</m:t>
                                </m:r>
                              </m:sub>
                            </m:sSub>
                          </m:num>
                          <m:den>
                            <m:sSub>
                              <m:sSubPr>
                                <m:ctrlPr>
                                  <w:rPr>
                                    <w:rFonts w:ascii="Cambria Math" w:hAnsi="Cambria Math" w:cstheme="majorBidi"/>
                                    <w:i/>
                                  </w:rPr>
                                </m:ctrlPr>
                              </m:sSubPr>
                              <m:e>
                                <m:r>
                                  <w:rPr>
                                    <w:rFonts w:ascii="Cambria Math" w:hAnsi="Cambria Math" w:cstheme="majorBidi"/>
                                  </w:rPr>
                                  <m:t>ρ</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w</m:t>
                                </m:r>
                              </m:sub>
                            </m:sSub>
                          </m:den>
                        </m:f>
                      </m:e>
                    </m:d>
                  </m:e>
                </m:func>
                <m:r>
                  <w:rPr>
                    <w:rFonts w:ascii="Cambria Math" w:hAnsi="Cambria Math" w:cstheme="majorBidi"/>
                  </w:rPr>
                  <m:t>erfc</m:t>
                </m:r>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h</m:t>
                        </m:r>
                        <m:rad>
                          <m:radPr>
                            <m:degHide m:val="1"/>
                            <m:ctrlPr>
                              <w:rPr>
                                <w:rFonts w:ascii="Cambria Math" w:hAnsi="Cambria Math" w:cstheme="majorBidi"/>
                                <w:i/>
                              </w:rPr>
                            </m:ctrlPr>
                          </m:radPr>
                          <m:deg/>
                          <m:e>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LC</m:t>
                                </m:r>
                              </m:sub>
                            </m:sSub>
                          </m:e>
                        </m:rad>
                      </m:num>
                      <m:den>
                        <m:rad>
                          <m:radPr>
                            <m:degHide m:val="1"/>
                            <m:ctrlPr>
                              <w:rPr>
                                <w:rFonts w:ascii="Cambria Math" w:hAnsi="Cambria Math" w:cstheme="majorBidi"/>
                                <w:i/>
                              </w:rPr>
                            </m:ctrlPr>
                          </m:radPr>
                          <m:deg/>
                          <m:e>
                            <m:sSub>
                              <m:sSubPr>
                                <m:ctrlPr>
                                  <w:rPr>
                                    <w:rFonts w:ascii="Cambria Math" w:hAnsi="Cambria Math" w:cstheme="majorBidi"/>
                                    <w:i/>
                                  </w:rPr>
                                </m:ctrlPr>
                              </m:sSubPr>
                              <m:e>
                                <m:r>
                                  <w:rPr>
                                    <w:rFonts w:ascii="Cambria Math" w:hAnsi="Cambria Math" w:cstheme="majorBidi"/>
                                  </w:rPr>
                                  <m:t>ρ</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w</m:t>
                                </m:r>
                              </m:sub>
                            </m:sSub>
                          </m:e>
                        </m:rad>
                      </m:den>
                    </m:f>
                  </m:e>
                </m:d>
              </m:oMath>
            </m:oMathPara>
          </w:p>
        </w:tc>
        <w:tc>
          <w:tcPr>
            <w:tcW w:w="277" w:type="pct"/>
          </w:tcPr>
          <w:p w14:paraId="66BF3C6B" w14:textId="3ECB17C6" w:rsidR="00894AE2" w:rsidRDefault="00894AE2" w:rsidP="00B940E4">
            <w:pPr>
              <w:pStyle w:val="BodyText2"/>
              <w:spacing w:before="240" w:after="240"/>
              <w:ind w:firstLine="0"/>
            </w:pPr>
            <w:r>
              <w:t>(</w:t>
            </w:r>
            <w:fldSimple w:instr=" SEQ Eqn \* MERGEFORMAT ">
              <w:r w:rsidR="006E391E">
                <w:rPr>
                  <w:noProof/>
                </w:rPr>
                <w:t>1</w:t>
              </w:r>
            </w:fldSimple>
            <w:r>
              <w:t>)</w:t>
            </w:r>
          </w:p>
        </w:tc>
      </w:tr>
    </w:tbl>
    <w:bookmarkEnd w:id="1"/>
    <w:p w14:paraId="7A30B189" w14:textId="3A48D7B8" w:rsidR="00894AE2" w:rsidRDefault="00894AE2" w:rsidP="00894AE2">
      <w:pPr>
        <w:pStyle w:val="BodyText2"/>
        <w:spacing w:before="240"/>
        <w:ind w:firstLine="0"/>
        <w:rPr>
          <w:lang w:bidi="he-IL"/>
        </w:rPr>
      </w:pPr>
      <w:r>
        <w:t>where T</w:t>
      </w:r>
      <w:r w:rsidRPr="00084D44">
        <w:rPr>
          <w:vertAlign w:val="subscript"/>
        </w:rPr>
        <w:t>g</w:t>
      </w:r>
      <w:r>
        <w:t xml:space="preserve"> is the temperature of the gas flow, T</w:t>
      </w:r>
      <w:r>
        <w:rPr>
          <w:vertAlign w:val="subscript"/>
        </w:rPr>
        <w:t xml:space="preserve">0 </w:t>
      </w:r>
      <w:r>
        <w:t>is the initial surface temperature. T</w:t>
      </w:r>
      <w:r w:rsidRPr="00084D44">
        <w:rPr>
          <w:vertAlign w:val="subscript"/>
        </w:rPr>
        <w:t>LC</w:t>
      </w:r>
      <w:r>
        <w:t xml:space="preserve"> and t</w:t>
      </w:r>
      <w:r w:rsidRPr="00084D44">
        <w:rPr>
          <w:vertAlign w:val="subscript"/>
        </w:rPr>
        <w:t>LC</w:t>
      </w:r>
      <w:r>
        <w:t xml:space="preserve"> represent the optically monitored isotherm of the liquid crystal and the time of t detection, while </w:t>
      </w:r>
      <w:r>
        <w:rPr>
          <w:lang w:val="el-GR" w:bidi="he-IL"/>
        </w:rPr>
        <w:t>ρ</w:t>
      </w:r>
      <w:r w:rsidRPr="00084D44">
        <w:rPr>
          <w:vertAlign w:val="subscript"/>
          <w:lang w:bidi="he-IL"/>
        </w:rPr>
        <w:t>w</w:t>
      </w:r>
      <w:r>
        <w:rPr>
          <w:lang w:bidi="he-IL"/>
        </w:rPr>
        <w:t>, c</w:t>
      </w:r>
      <w:r w:rsidRPr="00084D44">
        <w:rPr>
          <w:vertAlign w:val="subscript"/>
          <w:lang w:bidi="he-IL"/>
        </w:rPr>
        <w:t>w</w:t>
      </w:r>
      <w:r>
        <w:rPr>
          <w:lang w:bidi="he-IL"/>
        </w:rPr>
        <w:t xml:space="preserve"> and k</w:t>
      </w:r>
      <w:r w:rsidRPr="00084D44">
        <w:rPr>
          <w:vertAlign w:val="subscript"/>
          <w:lang w:bidi="he-IL"/>
        </w:rPr>
        <w:t>w</w:t>
      </w:r>
      <w:r>
        <w:rPr>
          <w:lang w:bidi="he-IL"/>
        </w:rPr>
        <w:t xml:space="preserve"> are the density, the specific heat and the thermal conductivity of the medium, respectively</w:t>
      </w:r>
      <w:r w:rsidR="00867283">
        <w:rPr>
          <w:lang w:bidi="he-IL"/>
        </w:rPr>
        <w:fldChar w:fldCharType="begin" w:fldLock="1"/>
      </w:r>
      <w:r w:rsidR="00867283">
        <w:rPr>
          <w:lang w:bidi="he-IL"/>
        </w:rPr>
        <w:instrText>ADDIN CSL_CITATION {"citationItems":[{"id":"ITEM-1","itemData":{"DOI":"10.1115/1.4031786","ISSN":"15288900","abstract":"This paper examines the applicability of a triple layer of thermochromic liquid crystals (TLCs) for the determination of local heat transfer coefficients using the transient liquid crystal (LC) technique. The experiments were carried out in a narrow impingement channel, typically used for turbine blade cooling applications. Three types of narrow bandwidth LCs (1 °C range) of 35 °C, 38 °C, and 41 °C were individually painted on the target plate of the cooling cavity and the overall paint thickness was accurately determined with an integral coating thickness gauge. The 1D transient heat conduction equation is then implicitly solved for each individual TLC layer on its realistic depth on the painted surface. Local heat transfer coefficients are therefore calculated three times for the same location in the flow improving the measurement accuracy, especially at regions where the LC detection times are too short (stagnation points) or too long (wall-jet regions). The results indicate that if multiple LC layers are used and the paint thickness is not considered, the heat transfer coefficients can be significantly underestimated. Copyright.","author":[{"dropping-particle":"","family":"Terzis","given":"Alexandros","non-dropping-particle":"","parse-names":false,"suffix":""},{"dropping-particle":"","family":"Bontitsopoulos","given":"Stavros","non-dropping-particle":"","parse-names":false,"suffix":""},{"dropping-particle":"","family":"Ott","given":"Peter","non-dropping-particle":"","parse-names":false,"suffix":""},{"dropping-particle":"","family":"Wolfersdorf","given":"Jens","non-dropping-particle":"Von","parse-names":false,"suffix":""},{"dropping-particle":"","family":"Kalfas","given":"Anestis I.","non-dropping-particle":"","parse-names":false,"suffix":""}],"container-title":"Journal of Turbomachinery","id":"ITEM-1","issue":"2","issued":{"date-parts":[["2016"]]},"page":"1-10","title":"Improved accuracy in jet impingement heat transfer experiments considering the layer thicknesses of a triple thermochromic liquid crystal coating","type":"article-journal","volume":"138"},"uris":["http://www.mendeley.com/documents/?uuid=9a03688c-6045-4f93-8780-c93bb68c6fe6"]}],"mendeley":{"formattedCitation":"[2]","plainTextFormattedCitation":"[2]","previouslyFormattedCitation":"[2]"},"properties":{"noteIndex":0},"schema":"https://github.com/citation-style-language/schema/raw/master/csl-citation.json"}</w:instrText>
      </w:r>
      <w:r w:rsidR="00867283">
        <w:rPr>
          <w:lang w:bidi="he-IL"/>
        </w:rPr>
        <w:fldChar w:fldCharType="separate"/>
      </w:r>
      <w:r w:rsidR="00867283" w:rsidRPr="00867283">
        <w:rPr>
          <w:noProof/>
          <w:lang w:bidi="he-IL"/>
        </w:rPr>
        <w:t>[2]</w:t>
      </w:r>
      <w:r w:rsidR="00867283">
        <w:rPr>
          <w:lang w:bidi="he-IL"/>
        </w:rPr>
        <w:fldChar w:fldCharType="end"/>
      </w:r>
      <w:r w:rsidR="00867283">
        <w:rPr>
          <w:lang w:bidi="he-IL"/>
        </w:rPr>
        <w:fldChar w:fldCharType="begin" w:fldLock="1"/>
      </w:r>
      <w:r w:rsidR="00867283">
        <w:rPr>
          <w:lang w:bidi="he-IL"/>
        </w:rPr>
        <w:instrText>ADDIN CSL_CITATION {"citationItems":[{"id":"ITEM-1","itemData":{"author":[{"dropping-particle":"","family":"Poser","given":"R.","non-dropping-particle":"","parse-names":false,"suffix":""},{"dropping-particle":"","family":"Wolfersdorf","given":"J.","non-dropping-particle":"von","parse-names":false,"suffix":""}],"id":"ITEM-1","issued":{"date-parts":[["0"]]},"title":"Transient liquid crystal thermography in complex internal cooling systems","type":"article"},"uris":["http://www.mendeley.com/documents/?uuid=654a98d1-08d0-45be-b1c0-dd3211646467"]}],"mendeley":{"formattedCitation":"[3]","plainTextFormattedCitation":"[3]","previouslyFormattedCitation":"[3]"},"properties":{"noteIndex":0},"schema":"https://github.com/citation-style-language/schema/raw/master/csl-citation.json"}</w:instrText>
      </w:r>
      <w:r w:rsidR="00867283">
        <w:rPr>
          <w:lang w:bidi="he-IL"/>
        </w:rPr>
        <w:fldChar w:fldCharType="separate"/>
      </w:r>
      <w:r w:rsidR="00867283" w:rsidRPr="00867283">
        <w:rPr>
          <w:noProof/>
          <w:lang w:bidi="he-IL"/>
        </w:rPr>
        <w:t>[3]</w:t>
      </w:r>
      <w:r w:rsidR="00867283">
        <w:rPr>
          <w:lang w:bidi="he-IL"/>
        </w:rPr>
        <w:fldChar w:fldCharType="end"/>
      </w:r>
      <w:r>
        <w:rPr>
          <w:lang w:bidi="he-IL"/>
        </w:rPr>
        <w:t>.</w:t>
      </w:r>
    </w:p>
    <w:p w14:paraId="67D0E4AF" w14:textId="3F97A418" w:rsidR="00894AE2" w:rsidRDefault="00894AE2" w:rsidP="00894AE2">
      <w:pPr>
        <w:pStyle w:val="BodyText2"/>
        <w:spacing w:after="240"/>
        <w:rPr>
          <w:lang w:bidi="he-IL"/>
        </w:rPr>
      </w:pPr>
      <w:r>
        <w:rPr>
          <w:lang w:bidi="he-IL"/>
        </w:rPr>
        <w:t>If Eqn. 1 is differentiated to form an expression for the temperature gradient as a function of time, it is derived: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9"/>
        <w:gridCol w:w="450"/>
      </w:tblGrid>
      <w:tr w:rsidR="00894AE2" w14:paraId="12C8B82E" w14:textId="77777777" w:rsidTr="00894AE2">
        <w:tc>
          <w:tcPr>
            <w:tcW w:w="8635" w:type="dxa"/>
            <w:vAlign w:val="center"/>
          </w:tcPr>
          <w:p w14:paraId="50242AEB" w14:textId="057DB4B5" w:rsidR="00894AE2" w:rsidRPr="00894AE2" w:rsidRDefault="00000000" w:rsidP="00894AE2">
            <w:pPr>
              <w:pStyle w:val="BodyText2"/>
              <w:ind w:firstLine="0"/>
              <w:jc w:val="center"/>
              <w:rPr>
                <w:rFonts w:asciiTheme="majorBidi" w:hAnsiTheme="majorBidi" w:cstheme="majorBidi"/>
              </w:rPr>
            </w:pPr>
            <m:oMathPara>
              <m:oMath>
                <m:f>
                  <m:fPr>
                    <m:ctrlPr>
                      <w:rPr>
                        <w:rFonts w:ascii="Cambria Math" w:hAnsi="Cambria Math" w:cstheme="majorBidi"/>
                        <w:i/>
                      </w:rPr>
                    </m:ctrlPr>
                  </m:fPr>
                  <m:num>
                    <m:r>
                      <w:rPr>
                        <w:rFonts w:ascii="Cambria Math" w:hAnsi="Cambria Math" w:cstheme="majorBidi"/>
                      </w:rPr>
                      <m:t>∂T</m:t>
                    </m:r>
                  </m:num>
                  <m:den>
                    <m:r>
                      <w:rPr>
                        <w:rFonts w:ascii="Cambria Math" w:hAnsi="Cambria Math" w:cstheme="majorBidi"/>
                      </w:rPr>
                      <m:t>∂t</m:t>
                    </m:r>
                  </m:den>
                </m:f>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G</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R</m:t>
                        </m:r>
                      </m:sub>
                    </m:sSub>
                  </m:num>
                  <m:den>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G</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R</m:t>
                        </m:r>
                      </m:sub>
                    </m:sSub>
                  </m:den>
                </m:f>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g</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0</m:t>
                        </m:r>
                      </m:sub>
                    </m:sSub>
                  </m:e>
                </m:d>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h</m:t>
                        </m:r>
                      </m:num>
                      <m:den>
                        <m:rad>
                          <m:radPr>
                            <m:degHide m:val="1"/>
                            <m:ctrlPr>
                              <w:rPr>
                                <w:rFonts w:ascii="Cambria Math" w:hAnsi="Cambria Math" w:cstheme="majorBidi"/>
                                <w:i/>
                              </w:rPr>
                            </m:ctrlPr>
                          </m:radPr>
                          <m:deg/>
                          <m:e>
                            <m:sSub>
                              <m:sSubPr>
                                <m:ctrlPr>
                                  <w:rPr>
                                    <w:rFonts w:ascii="Cambria Math" w:hAnsi="Cambria Math" w:cstheme="majorBidi"/>
                                    <w:i/>
                                  </w:rPr>
                                </m:ctrlPr>
                              </m:sSubPr>
                              <m:e>
                                <m:r>
                                  <w:rPr>
                                    <w:rFonts w:ascii="Cambria Math" w:hAnsi="Cambria Math" w:cstheme="majorBidi"/>
                                  </w:rPr>
                                  <m:t>ρ</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w</m:t>
                                </m:r>
                              </m:sub>
                            </m:sSub>
                            <m:r>
                              <w:rPr>
                                <w:rFonts w:ascii="Cambria Math" w:hAnsi="Cambria Math" w:cstheme="majorBidi"/>
                              </w:rPr>
                              <m:t>πt</m:t>
                            </m:r>
                          </m:e>
                        </m:rad>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h</m:t>
                            </m:r>
                          </m:e>
                          <m:sup>
                            <m:r>
                              <w:rPr>
                                <w:rFonts w:ascii="Cambria Math" w:hAnsi="Cambria Math" w:cstheme="majorBidi"/>
                              </w:rPr>
                              <m:t>2</m:t>
                            </m:r>
                          </m:sup>
                        </m:sSup>
                        <m:r>
                          <w:rPr>
                            <w:rFonts w:ascii="Cambria Math" w:hAnsi="Cambria Math" w:cstheme="majorBidi"/>
                          </w:rPr>
                          <m:t>t</m:t>
                        </m:r>
                      </m:num>
                      <m:den>
                        <m:sSub>
                          <m:sSubPr>
                            <m:ctrlPr>
                              <w:rPr>
                                <w:rFonts w:ascii="Cambria Math" w:hAnsi="Cambria Math" w:cstheme="majorBidi"/>
                                <w:i/>
                              </w:rPr>
                            </m:ctrlPr>
                          </m:sSubPr>
                          <m:e>
                            <m:r>
                              <w:rPr>
                                <w:rFonts w:ascii="Cambria Math" w:hAnsi="Cambria Math" w:cstheme="majorBidi"/>
                              </w:rPr>
                              <m:t>ρ</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w</m:t>
                            </m:r>
                          </m:sub>
                        </m:sSub>
                      </m:den>
                    </m:f>
                    <m:func>
                      <m:funcPr>
                        <m:ctrlPr>
                          <w:rPr>
                            <w:rFonts w:ascii="Cambria Math" w:hAnsi="Cambria Math" w:cstheme="majorBidi"/>
                            <w:i/>
                          </w:rPr>
                        </m:ctrlPr>
                      </m:funcPr>
                      <m:fName>
                        <m:r>
                          <m:rPr>
                            <m:sty m:val="p"/>
                          </m:rPr>
                          <w:rPr>
                            <w:rFonts w:ascii="Cambria Math" w:hAnsi="Cambria Math" w:cstheme="majorBidi"/>
                          </w:rPr>
                          <m:t>exp</m:t>
                        </m:r>
                      </m:fName>
                      <m:e>
                        <m:d>
                          <m:dPr>
                            <m:ctrlPr>
                              <w:rPr>
                                <w:rFonts w:ascii="Cambria Math" w:hAnsi="Cambria Math" w:cstheme="majorBidi"/>
                                <w:i/>
                              </w:rPr>
                            </m:ctrlPr>
                          </m:dPr>
                          <m:e>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h</m:t>
                                    </m:r>
                                  </m:e>
                                  <m:sup>
                                    <m:r>
                                      <w:rPr>
                                        <w:rFonts w:ascii="Cambria Math" w:hAnsi="Cambria Math" w:cstheme="majorBidi"/>
                                      </w:rPr>
                                      <m:t>2</m:t>
                                    </m:r>
                                  </m:sup>
                                </m:sSup>
                                <m:r>
                                  <w:rPr>
                                    <w:rFonts w:ascii="Cambria Math" w:hAnsi="Cambria Math" w:cstheme="majorBidi"/>
                                  </w:rPr>
                                  <m:t>t</m:t>
                                </m:r>
                              </m:num>
                              <m:den>
                                <m:sSub>
                                  <m:sSubPr>
                                    <m:ctrlPr>
                                      <w:rPr>
                                        <w:rFonts w:ascii="Cambria Math" w:hAnsi="Cambria Math" w:cstheme="majorBidi"/>
                                        <w:i/>
                                      </w:rPr>
                                    </m:ctrlPr>
                                  </m:sSubPr>
                                  <m:e>
                                    <m:r>
                                      <w:rPr>
                                        <w:rFonts w:ascii="Cambria Math" w:hAnsi="Cambria Math" w:cstheme="majorBidi"/>
                                      </w:rPr>
                                      <m:t>ρ</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w</m:t>
                                    </m:r>
                                  </m:sub>
                                </m:sSub>
                              </m:den>
                            </m:f>
                          </m:e>
                        </m:d>
                      </m:e>
                    </m:func>
                    <m:r>
                      <w:rPr>
                        <w:rFonts w:ascii="Cambria Math" w:hAnsi="Cambria Math" w:cstheme="majorBidi"/>
                      </w:rPr>
                      <m:t>erfc</m:t>
                    </m:r>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h</m:t>
                            </m:r>
                            <m:rad>
                              <m:radPr>
                                <m:degHide m:val="1"/>
                                <m:ctrlPr>
                                  <w:rPr>
                                    <w:rFonts w:ascii="Cambria Math" w:hAnsi="Cambria Math" w:cstheme="majorBidi"/>
                                    <w:i/>
                                  </w:rPr>
                                </m:ctrlPr>
                              </m:radPr>
                              <m:deg/>
                              <m:e>
                                <m:r>
                                  <w:rPr>
                                    <w:rFonts w:ascii="Cambria Math" w:hAnsi="Cambria Math" w:cstheme="majorBidi"/>
                                  </w:rPr>
                                  <m:t>t</m:t>
                                </m:r>
                              </m:e>
                            </m:rad>
                          </m:num>
                          <m:den>
                            <m:rad>
                              <m:radPr>
                                <m:degHide m:val="1"/>
                                <m:ctrlPr>
                                  <w:rPr>
                                    <w:rFonts w:ascii="Cambria Math" w:hAnsi="Cambria Math" w:cstheme="majorBidi"/>
                                    <w:i/>
                                  </w:rPr>
                                </m:ctrlPr>
                              </m:radPr>
                              <m:deg/>
                              <m:e>
                                <m:sSub>
                                  <m:sSubPr>
                                    <m:ctrlPr>
                                      <w:rPr>
                                        <w:rFonts w:ascii="Cambria Math" w:hAnsi="Cambria Math" w:cstheme="majorBidi"/>
                                        <w:i/>
                                      </w:rPr>
                                    </m:ctrlPr>
                                  </m:sSubPr>
                                  <m:e>
                                    <m:r>
                                      <w:rPr>
                                        <w:rFonts w:ascii="Cambria Math" w:hAnsi="Cambria Math" w:cstheme="majorBidi"/>
                                      </w:rPr>
                                      <m:t>ρ</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w</m:t>
                                    </m:r>
                                  </m:sub>
                                </m:sSub>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w</m:t>
                                    </m:r>
                                  </m:sub>
                                </m:sSub>
                              </m:e>
                            </m:rad>
                          </m:den>
                        </m:f>
                      </m:e>
                    </m:d>
                  </m:e>
                </m:d>
              </m:oMath>
            </m:oMathPara>
          </w:p>
        </w:tc>
        <w:tc>
          <w:tcPr>
            <w:tcW w:w="384" w:type="dxa"/>
            <w:vAlign w:val="center"/>
          </w:tcPr>
          <w:p w14:paraId="168F4EA4" w14:textId="518668A1" w:rsidR="00894AE2" w:rsidRDefault="00894AE2" w:rsidP="00894AE2">
            <w:pPr>
              <w:pStyle w:val="BodyText2"/>
              <w:ind w:firstLine="0"/>
              <w:jc w:val="center"/>
              <w:rPr>
                <w:lang w:bidi="he-IL"/>
              </w:rPr>
            </w:pPr>
            <w:r>
              <w:rPr>
                <w:lang w:bidi="he-IL"/>
              </w:rPr>
              <w:t>(2)</w:t>
            </w:r>
          </w:p>
        </w:tc>
      </w:tr>
    </w:tbl>
    <w:p w14:paraId="537CCCE5" w14:textId="77777777" w:rsidR="00867283" w:rsidRDefault="00894AE2" w:rsidP="00867283">
      <w:pPr>
        <w:pStyle w:val="BodyText2"/>
        <w:spacing w:before="240"/>
        <w:ind w:firstLine="0"/>
      </w:pPr>
      <w:r>
        <w:t>By applying a first-order finite expression, the gradient is selected to be quantified as the ratio of the temperature difference of green and red at their peak intensities, to the time difference between the time steps at which the peak intensities are detected by the camera.</w:t>
      </w:r>
    </w:p>
    <w:p w14:paraId="2938B052" w14:textId="1E5160E4" w:rsidR="00867283" w:rsidRPr="00867283" w:rsidRDefault="00867283" w:rsidP="00686AD2">
      <w:pPr>
        <w:pStyle w:val="BodyText2"/>
        <w:spacing w:after="240"/>
      </w:pPr>
      <w:r>
        <w:rPr>
          <w:lang w:val="en-GB"/>
        </w:rPr>
        <w:t>In order to investigate the effectiveness of this alternative approach, data from experiments on a flat plate, which is cooled by impinging jets, are used</w:t>
      </w:r>
      <w:r>
        <w:rPr>
          <w:lang w:val="en-GB"/>
        </w:rPr>
        <w:fldChar w:fldCharType="begin" w:fldLock="1"/>
      </w:r>
      <w:r w:rsidR="000D4D39">
        <w:rPr>
          <w:lang w:val="en-GB"/>
        </w:rPr>
        <w:instrText>ADDIN CSL_CITATION {"citationItems":[{"id":"ITEM-1","itemData":{"abstract":"In modern gas turbines several parts are under high heat loads, especially in the turbine section, where hot gases coming from the combustion chamber lead turbine inlet temperatures far higher than the melting point of the blade materials. Even with the latest advances and new materials used, these high temperatures cause thermal stress reducing the components life, and instigate risk of melting. This is incompatible with a safe operation and hence cooling of the components is of vital importance. The importance of the study of the cooling techniques and its improvement resides not only in order to be able to increase the firing temperatures of gas turbines, and hence increase its performance, but to optimize the drop of the turbine efficiency bound to the use of cooling systems. The objective of this thesis is the experimental investigation of several geometrical and flow-related factors that affect the cooling performance of a narrow impingement channel, typically used for cast-in turbine airfoils. A transient liquid crystal technique has been applied using narrow band Thermochromic Liquid Crystals (TLC) in order to evaluate the heat transfer coefficient distribution in all the inner surfaces of different narrow impingement channels. The heat transfer coefficient can be calculated using a transient technique, by painting the test surfaces of interest using TLC, previously calibrated, and measuring the time of appearance of a specific colour over the surface, when the flow is subjected to a sudden temperature step. Duhamel’s theorem has been applied in the heat transfer equation in order to deal with the delay in the temperature step-change as well as a correction for thermocouple thermal inertia effects. Since a semi-infinite body assumption has to be made, in order to avoid any lateral heat conduction within the walls and plates, Plexiglas has been used due to its low thermal conductivity. Furthermore, the test times of all the experiments have been limited to ensure the fulfillment of the restrictions. The tests were carried out in a narrow impingement channel test facility, consisting the test model of an impinging plate, a target plate, two sidewalls and a backwall. The model pretended to be a large-scale representation of a typical blade impingement channel. Only one of the channel exits was left open to the flow, resulting in a high crossflow orientation. The impingement plate consists of 2 rows of several cooling holes per row varying from 5 to…","author":[{"dropping-particle":"","family":"Sanllehí","given":"Santiago Llucià","non-dropping-particle":"","parse-names":false,"suffix":""}],"id":"ITEM-1","issued":{"date-parts":[["2014"]]},"publisher":"Ecole Polytechnique Federale de Lausanne","title":"Experimental evaluation of local heat transfer distributions in high crossflow narrow impingement channels using the transient liquid crystal technique","type":"thesis"},"uris":["http://www.mendeley.com/documents/?uuid=bffd3539-8089-4c97-b8d8-336dd1dfb8f1"]}],"mendeley":{"formattedCitation":"[4]","plainTextFormattedCitation":"[4]","previouslyFormattedCitation":"[4]"},"properties":{"noteIndex":0},"schema":"https://github.com/citation-style-language/schema/raw/master/csl-citation.json"}</w:instrText>
      </w:r>
      <w:r>
        <w:rPr>
          <w:lang w:val="en-GB"/>
        </w:rPr>
        <w:fldChar w:fldCharType="separate"/>
      </w:r>
      <w:r w:rsidRPr="00867283">
        <w:rPr>
          <w:noProof/>
          <w:lang w:val="en-GB"/>
        </w:rPr>
        <w:t>[4]</w:t>
      </w:r>
      <w:r>
        <w:rPr>
          <w:lang w:val="en-GB"/>
        </w:rPr>
        <w:fldChar w:fldCharType="end"/>
      </w:r>
      <w:r>
        <w:rPr>
          <w:lang w:val="en-GB"/>
        </w:rPr>
        <w:t>. The experimental apparatus is described in detail by Terzis et al</w:t>
      </w:r>
      <w:r>
        <w:rPr>
          <w:lang w:val="en-GB"/>
        </w:rPr>
        <w:fldChar w:fldCharType="begin" w:fldLock="1"/>
      </w:r>
      <w:r w:rsidR="000D4D39">
        <w:rPr>
          <w:lang w:val="en-GB"/>
        </w:rPr>
        <w:instrText>ADDIN CSL_CITATION {"citationItems":[{"id":"ITEM-1","itemData":{"DOI":"10.1088/0957-0233/23/11/115303","ISSN":"13616501","abstract":"The transient liquid crystal technique is widely used for impingement heat transfer experiments. Additionally, due to the difficulty of producing pure temperature steps in the flow, many authors assumed the fluid temperature evolution as a series of step changes using Duhamel's superposition theorem. However, for small impingement configurations where the jets are fed from the same plenum chamber, and hence flow velocities are relatively small, thermal inertia of commercial thermocouples causes a delay, lagging from the real plenum temperature history. This paper investigates thermal inertia characteristics of thermocouples and their effect on the calculation of impingement heat transfer coefficient. Several thermocouples with exposed junction and different wire diameter were considered over a range of plenum flow conditions typically found in impingement heat transfer experiments. The effect of thermocouple time constant on the evaluation of the heat transfer rate was investigated in a narrow channel consisting of five inline impingement jets. The results indicated a significant effect of thermocouple response on the stagnation point region heat transfer, while lower local heat transfer rates are negligibly affected as liquid crystal signals appear later in time and the driving gas temperature history has a smaller influence on the evaluated data. © 2012 IOP Publishing Ltd.","author":[{"dropping-particle":"","family":"Terzis","given":"Alexandros","non-dropping-particle":"","parse-names":false,"suffix":""},{"dropping-particle":"","family":"Wolfersdorf","given":"Jens","non-dropping-particle":"Von","parse-names":false,"suffix":""},{"dropping-particle":"","family":"Weigand","given":"Bernhard","non-dropping-particle":"","parse-names":false,"suffix":""},{"dropping-particle":"","family":"Ott","given":"Peter","non-dropping-particle":"","parse-names":false,"suffix":""}],"container-title":"Measurement Science and Technology","id":"ITEM-1","issue":"11","issued":{"date-parts":[["2012"]]},"title":"Thermocouple thermal inertia effects on impingement heat transfer experiments using the transient liquid crystal technique","type":"article-journal","volume":"23"},"uris":["http://www.mendeley.com/documents/?uuid=00622b06-9716-40f6-9284-f7466c0ae4ba"]}],"mendeley":{"formattedCitation":"[5]","plainTextFormattedCitation":"[5]","previouslyFormattedCitation":"[5]"},"properties":{"noteIndex":0},"schema":"https://github.com/citation-style-language/schema/raw/master/csl-citation.json"}</w:instrText>
      </w:r>
      <w:r>
        <w:rPr>
          <w:lang w:val="en-GB"/>
        </w:rPr>
        <w:fldChar w:fldCharType="separate"/>
      </w:r>
      <w:r w:rsidRPr="00867283">
        <w:rPr>
          <w:noProof/>
          <w:lang w:val="en-GB"/>
        </w:rPr>
        <w:t>[5]</w:t>
      </w:r>
      <w:r>
        <w:rPr>
          <w:lang w:val="en-GB"/>
        </w:rPr>
        <w:fldChar w:fldCharType="end"/>
      </w:r>
      <w:r>
        <w:rPr>
          <w:lang w:val="en-GB"/>
        </w:rPr>
        <w:t>.</w:t>
      </w:r>
      <w:r w:rsidR="00686AD2" w:rsidRPr="00686AD2">
        <w:t xml:space="preserve"> </w:t>
      </w:r>
      <w:r w:rsidR="00686AD2">
        <w:t>Th</w:t>
      </w:r>
      <w:r w:rsidR="00686AD2" w:rsidRPr="006B0FCF">
        <w:t>e</w:t>
      </w:r>
      <w:r w:rsidR="00686AD2">
        <w:t xml:space="preserve"> test rig is part of an open circuit wind tunnel. The air enters the rig through the flare. The necessary temperature step, for the liquid crystal experiments is measured with thermocouples and it is achieved via a mesh heater. On the top of the facility, there is the test section, where the jets impinge on the installed the models. The flow exits the facility through a vacuum pump.</w:t>
      </w:r>
    </w:p>
    <w:p w14:paraId="4ACF6B0E" w14:textId="56BA339D" w:rsidR="007D469E" w:rsidRDefault="007D469E" w:rsidP="007D469E">
      <w:pPr>
        <w:pStyle w:val="NomenclatureClauseTitle"/>
      </w:pPr>
      <w:r>
        <w:lastRenderedPageBreak/>
        <w:t>RESULTS and DISCUSSION</w:t>
      </w:r>
    </w:p>
    <w:p w14:paraId="18F353DF" w14:textId="0FE56D98" w:rsidR="00984570" w:rsidRDefault="00984570" w:rsidP="00895AF5">
      <w:pPr>
        <w:pStyle w:val="BodyText2"/>
      </w:pPr>
      <w:r>
        <w:t xml:space="preserve">Figure </w:t>
      </w:r>
      <w:r w:rsidR="006D07C9">
        <w:t>1</w:t>
      </w:r>
      <w:r>
        <w:t xml:space="preserve"> illustrates the differences between the temperature wall gradient between calibrated liquid crystals, either with the use of the green color and the calibrationless approach. </w:t>
      </w:r>
      <w:r w:rsidR="00850247">
        <w:t>I</w:t>
      </w:r>
      <w:r w:rsidR="00895AF5">
        <w:t>n Figure 1a</w:t>
      </w:r>
      <w:r w:rsidR="00A82E8C">
        <w:t>,</w:t>
      </w:r>
      <w:r w:rsidR="00895AF5">
        <w:t xml:space="preserve"> </w:t>
      </w:r>
      <w:r>
        <w:t>the temperature wall gradient field on the plate demonstrate</w:t>
      </w:r>
      <w:r w:rsidR="00895AF5">
        <w:t>s</w:t>
      </w:r>
      <w:r>
        <w:t xml:space="preserve"> a smooth transition from the lower to the highest values. The peaks are observed in the regions, where the jets impinge on the plate. </w:t>
      </w:r>
    </w:p>
    <w:p w14:paraId="49E55872" w14:textId="192B569A" w:rsidR="00984570" w:rsidRDefault="00984570" w:rsidP="00E77719">
      <w:pPr>
        <w:pStyle w:val="BodyText2"/>
        <w:spacing w:after="240"/>
      </w:pPr>
      <w:r>
        <w:t xml:space="preserve">When the liquid crystals are not calibrated, </w:t>
      </w:r>
      <w:r w:rsidR="00895AF5">
        <w:t xml:space="preserve">as it is shown in Figure 1b, </w:t>
      </w:r>
      <w:r>
        <w:t>the post-processing of the experimental data results in a distorted temperature gradient field on the plate surface. The pixel resolution of the image is more pronounced, since the transition from lower to higher gradients is not gradual. It rather displays fluctuations, as it approaches the centers of the jets’ impingement. Furthermore, the peak values are significantly lower compared to the ones of the calibrated liquid crystals. Also, the high temperature gradient regions occupy a larger part of the plate.</w:t>
      </w:r>
    </w:p>
    <w:p w14:paraId="143473F4" w14:textId="77777777" w:rsidR="00E77719" w:rsidRDefault="00E77719" w:rsidP="00E77719">
      <w:pPr>
        <w:pStyle w:val="BodyText2"/>
        <w:keepNext/>
        <w:ind w:firstLine="0"/>
        <w:jc w:val="center"/>
      </w:pPr>
      <w:r>
        <w:rPr>
          <w:noProof/>
        </w:rPr>
        <w:drawing>
          <wp:inline distT="0" distB="0" distL="0" distR="0" wp14:anchorId="5AA425FB" wp14:editId="71821681">
            <wp:extent cx="4209861" cy="1735567"/>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14" t="28095" r="9822" b="25476"/>
                    <a:stretch/>
                  </pic:blipFill>
                  <pic:spPr bwMode="auto">
                    <a:xfrm>
                      <a:off x="0" y="0"/>
                      <a:ext cx="4268474" cy="1759731"/>
                    </a:xfrm>
                    <a:prstGeom prst="rect">
                      <a:avLst/>
                    </a:prstGeom>
                    <a:noFill/>
                    <a:ln>
                      <a:noFill/>
                    </a:ln>
                    <a:extLst>
                      <a:ext uri="{53640926-AAD7-44D8-BBD7-CCE9431645EC}">
                        <a14:shadowObscured xmlns:a14="http://schemas.microsoft.com/office/drawing/2010/main"/>
                      </a:ext>
                    </a:extLst>
                  </pic:spPr>
                </pic:pic>
              </a:graphicData>
            </a:graphic>
          </wp:inline>
        </w:drawing>
      </w:r>
    </w:p>
    <w:p w14:paraId="2D4F5C80" w14:textId="5D4C061B" w:rsidR="007D469E" w:rsidRPr="00654A5D" w:rsidRDefault="00E77719" w:rsidP="00654A5D">
      <w:pPr>
        <w:pStyle w:val="Caption"/>
        <w:jc w:val="center"/>
        <w:rPr>
          <w:rFonts w:asciiTheme="majorBidi" w:hAnsiTheme="majorBidi" w:cstheme="majorBidi"/>
          <w:b/>
          <w:bCs/>
          <w:i w:val="0"/>
          <w:iCs w:val="0"/>
          <w:color w:val="auto"/>
          <w:sz w:val="20"/>
          <w:szCs w:val="20"/>
        </w:rPr>
      </w:pPr>
      <w:r w:rsidRPr="00E77719">
        <w:rPr>
          <w:rFonts w:asciiTheme="majorBidi" w:hAnsiTheme="majorBidi" w:cstheme="majorBidi"/>
          <w:b/>
          <w:bCs/>
          <w:i w:val="0"/>
          <w:iCs w:val="0"/>
          <w:color w:val="auto"/>
          <w:sz w:val="20"/>
          <w:szCs w:val="20"/>
        </w:rPr>
        <w:t xml:space="preserve">Figure </w:t>
      </w:r>
      <w:r w:rsidRPr="00E77719">
        <w:rPr>
          <w:rFonts w:asciiTheme="majorBidi" w:hAnsiTheme="majorBidi" w:cstheme="majorBidi"/>
          <w:b/>
          <w:bCs/>
          <w:i w:val="0"/>
          <w:iCs w:val="0"/>
          <w:color w:val="auto"/>
          <w:sz w:val="20"/>
          <w:szCs w:val="20"/>
        </w:rPr>
        <w:fldChar w:fldCharType="begin"/>
      </w:r>
      <w:r w:rsidRPr="00E77719">
        <w:rPr>
          <w:rFonts w:asciiTheme="majorBidi" w:hAnsiTheme="majorBidi" w:cstheme="majorBidi"/>
          <w:b/>
          <w:bCs/>
          <w:i w:val="0"/>
          <w:iCs w:val="0"/>
          <w:color w:val="auto"/>
          <w:sz w:val="20"/>
          <w:szCs w:val="20"/>
        </w:rPr>
        <w:instrText xml:space="preserve"> SEQ Figure \* ARABIC </w:instrText>
      </w:r>
      <w:r w:rsidRPr="00E77719">
        <w:rPr>
          <w:rFonts w:asciiTheme="majorBidi" w:hAnsiTheme="majorBidi" w:cstheme="majorBidi"/>
          <w:b/>
          <w:bCs/>
          <w:i w:val="0"/>
          <w:iCs w:val="0"/>
          <w:color w:val="auto"/>
          <w:sz w:val="20"/>
          <w:szCs w:val="20"/>
        </w:rPr>
        <w:fldChar w:fldCharType="separate"/>
      </w:r>
      <w:r w:rsidR="006E391E">
        <w:rPr>
          <w:rFonts w:asciiTheme="majorBidi" w:hAnsiTheme="majorBidi" w:cstheme="majorBidi"/>
          <w:b/>
          <w:bCs/>
          <w:i w:val="0"/>
          <w:iCs w:val="0"/>
          <w:noProof/>
          <w:color w:val="auto"/>
          <w:sz w:val="20"/>
          <w:szCs w:val="20"/>
        </w:rPr>
        <w:t>1</w:t>
      </w:r>
      <w:r w:rsidRPr="00E77719">
        <w:rPr>
          <w:rFonts w:asciiTheme="majorBidi" w:hAnsiTheme="majorBidi" w:cstheme="majorBidi"/>
          <w:b/>
          <w:bCs/>
          <w:i w:val="0"/>
          <w:iCs w:val="0"/>
          <w:color w:val="auto"/>
          <w:sz w:val="20"/>
          <w:szCs w:val="20"/>
        </w:rPr>
        <w:fldChar w:fldCharType="end"/>
      </w:r>
      <w:r w:rsidRPr="00E77719">
        <w:rPr>
          <w:rFonts w:asciiTheme="majorBidi" w:hAnsiTheme="majorBidi" w:cstheme="majorBidi"/>
          <w:b/>
          <w:bCs/>
          <w:i w:val="0"/>
          <w:iCs w:val="0"/>
          <w:color w:val="auto"/>
          <w:sz w:val="20"/>
          <w:szCs w:val="20"/>
        </w:rPr>
        <w:t>: Wall temperature gradient distribution according to (a) Green color scheme, (b) Dichromatic approach</w:t>
      </w:r>
      <w:r w:rsidR="006D07C9">
        <w:rPr>
          <w:rFonts w:asciiTheme="majorBidi" w:hAnsiTheme="majorBidi" w:cstheme="majorBidi"/>
          <w:b/>
          <w:bCs/>
          <w:i w:val="0"/>
          <w:iCs w:val="0"/>
          <w:color w:val="auto"/>
          <w:sz w:val="20"/>
          <w:szCs w:val="20"/>
        </w:rPr>
        <w:t xml:space="preserve"> </w:t>
      </w:r>
    </w:p>
    <w:p w14:paraId="589C6581" w14:textId="77777777" w:rsidR="007D469E" w:rsidRDefault="007D469E">
      <w:pPr>
        <w:pStyle w:val="ReferencesClauseTitle"/>
      </w:pPr>
      <w:r>
        <w:t>References</w:t>
      </w:r>
    </w:p>
    <w:p w14:paraId="0A52C99C" w14:textId="518BECB6" w:rsidR="000D4D39" w:rsidRPr="000D4D39" w:rsidRDefault="000D4D39" w:rsidP="000D4D39">
      <w:pPr>
        <w:widowControl w:val="0"/>
        <w:autoSpaceDE w:val="0"/>
        <w:autoSpaceDN w:val="0"/>
        <w:adjustRightInd w:val="0"/>
        <w:ind w:left="640" w:hanging="640"/>
        <w:rPr>
          <w:rFonts w:ascii="Times New Roman" w:hAnsi="Times New Roman"/>
          <w:noProof/>
        </w:rPr>
      </w:pPr>
      <w:r>
        <w:fldChar w:fldCharType="begin" w:fldLock="1"/>
      </w:r>
      <w:r>
        <w:instrText xml:space="preserve">ADDIN Mendeley Bibliography CSL_BIBLIOGRAPHY </w:instrText>
      </w:r>
      <w:r>
        <w:fldChar w:fldCharType="separate"/>
      </w:r>
      <w:r w:rsidRPr="000D4D39">
        <w:rPr>
          <w:rFonts w:ascii="Times New Roman" w:hAnsi="Times New Roman"/>
          <w:noProof/>
        </w:rPr>
        <w:t>[1]</w:t>
      </w:r>
      <w:r w:rsidRPr="000D4D39">
        <w:rPr>
          <w:rFonts w:ascii="Times New Roman" w:hAnsi="Times New Roman"/>
          <w:noProof/>
        </w:rPr>
        <w:tab/>
        <w:t xml:space="preserve">P. T. Ireland and T. V. Jones, “Liquid crystal measurements of heat transfer and surface shear stress,” </w:t>
      </w:r>
      <w:r w:rsidRPr="000D4D39">
        <w:rPr>
          <w:rFonts w:ascii="Times New Roman" w:hAnsi="Times New Roman"/>
          <w:i/>
          <w:iCs/>
          <w:noProof/>
        </w:rPr>
        <w:t>Meas. Sci. Technol.</w:t>
      </w:r>
      <w:r w:rsidRPr="000D4D39">
        <w:rPr>
          <w:rFonts w:ascii="Times New Roman" w:hAnsi="Times New Roman"/>
          <w:noProof/>
        </w:rPr>
        <w:t>, vol. 11, no. 7, pp. 969–986, 2000, doi: 10.1088/0957-0233/11/7/313.</w:t>
      </w:r>
    </w:p>
    <w:p w14:paraId="250D20CB" w14:textId="77777777" w:rsidR="000D4D39" w:rsidRPr="000D4D39" w:rsidRDefault="000D4D39" w:rsidP="000D4D39">
      <w:pPr>
        <w:widowControl w:val="0"/>
        <w:autoSpaceDE w:val="0"/>
        <w:autoSpaceDN w:val="0"/>
        <w:adjustRightInd w:val="0"/>
        <w:ind w:left="640" w:hanging="640"/>
        <w:rPr>
          <w:rFonts w:ascii="Times New Roman" w:hAnsi="Times New Roman"/>
          <w:noProof/>
        </w:rPr>
      </w:pPr>
      <w:r w:rsidRPr="000D4D39">
        <w:rPr>
          <w:rFonts w:ascii="Times New Roman" w:hAnsi="Times New Roman"/>
          <w:noProof/>
        </w:rPr>
        <w:t>[2]</w:t>
      </w:r>
      <w:r w:rsidRPr="000D4D39">
        <w:rPr>
          <w:rFonts w:ascii="Times New Roman" w:hAnsi="Times New Roman"/>
          <w:noProof/>
        </w:rPr>
        <w:tab/>
        <w:t xml:space="preserve">A. Terzis, S. Bontitsopoulos, P. Ott, J. Von Wolfersdorf, and A. I. Kalfas, “Improved accuracy in jet impingement heat transfer experiments considering the layer thicknesses of a triple thermochromic liquid crystal coating,” </w:t>
      </w:r>
      <w:r w:rsidRPr="000D4D39">
        <w:rPr>
          <w:rFonts w:ascii="Times New Roman" w:hAnsi="Times New Roman"/>
          <w:i/>
          <w:iCs/>
          <w:noProof/>
        </w:rPr>
        <w:t>J. Turbomach.</w:t>
      </w:r>
      <w:r w:rsidRPr="000D4D39">
        <w:rPr>
          <w:rFonts w:ascii="Times New Roman" w:hAnsi="Times New Roman"/>
          <w:noProof/>
        </w:rPr>
        <w:t>, vol. 138, no. 2, pp. 1–10, 2016, doi: 10.1115/1.4031786.</w:t>
      </w:r>
    </w:p>
    <w:p w14:paraId="03AFCB4A" w14:textId="77777777" w:rsidR="000D4D39" w:rsidRPr="000D4D39" w:rsidRDefault="000D4D39" w:rsidP="000D4D39">
      <w:pPr>
        <w:widowControl w:val="0"/>
        <w:autoSpaceDE w:val="0"/>
        <w:autoSpaceDN w:val="0"/>
        <w:adjustRightInd w:val="0"/>
        <w:ind w:left="640" w:hanging="640"/>
        <w:rPr>
          <w:rFonts w:ascii="Times New Roman" w:hAnsi="Times New Roman"/>
          <w:noProof/>
        </w:rPr>
      </w:pPr>
      <w:r w:rsidRPr="000D4D39">
        <w:rPr>
          <w:rFonts w:ascii="Times New Roman" w:hAnsi="Times New Roman"/>
          <w:noProof/>
        </w:rPr>
        <w:t>[3]</w:t>
      </w:r>
      <w:r w:rsidRPr="000D4D39">
        <w:rPr>
          <w:rFonts w:ascii="Times New Roman" w:hAnsi="Times New Roman"/>
          <w:noProof/>
        </w:rPr>
        <w:tab/>
        <w:t xml:space="preserve">R. Poser and J. von Wolfersdorf, “Transient liquid crystal thermography in complex internal cooling systems.” </w:t>
      </w:r>
    </w:p>
    <w:p w14:paraId="0A168A90" w14:textId="77777777" w:rsidR="000D4D39" w:rsidRPr="000D4D39" w:rsidRDefault="000D4D39" w:rsidP="000D4D39">
      <w:pPr>
        <w:widowControl w:val="0"/>
        <w:autoSpaceDE w:val="0"/>
        <w:autoSpaceDN w:val="0"/>
        <w:adjustRightInd w:val="0"/>
        <w:ind w:left="640" w:hanging="640"/>
        <w:rPr>
          <w:rFonts w:ascii="Times New Roman" w:hAnsi="Times New Roman"/>
          <w:noProof/>
        </w:rPr>
      </w:pPr>
      <w:r w:rsidRPr="000D4D39">
        <w:rPr>
          <w:rFonts w:ascii="Times New Roman" w:hAnsi="Times New Roman"/>
          <w:noProof/>
        </w:rPr>
        <w:t>[4]</w:t>
      </w:r>
      <w:r w:rsidRPr="000D4D39">
        <w:rPr>
          <w:rFonts w:ascii="Times New Roman" w:hAnsi="Times New Roman"/>
          <w:noProof/>
        </w:rPr>
        <w:tab/>
        <w:t>S. L. Sanllehí, “Experimental evaluation of local heat transfer distributions in high crossflow narrow impingement channels using the transient liquid crystal technique,” Ecole Polytechnique Federale de Lausanne, 2014.</w:t>
      </w:r>
    </w:p>
    <w:p w14:paraId="1DCE5E07" w14:textId="77777777" w:rsidR="000D4D39" w:rsidRPr="000D4D39" w:rsidRDefault="000D4D39" w:rsidP="000D4D39">
      <w:pPr>
        <w:widowControl w:val="0"/>
        <w:autoSpaceDE w:val="0"/>
        <w:autoSpaceDN w:val="0"/>
        <w:adjustRightInd w:val="0"/>
        <w:ind w:left="640" w:hanging="640"/>
        <w:rPr>
          <w:rFonts w:ascii="Times New Roman" w:hAnsi="Times New Roman"/>
          <w:noProof/>
        </w:rPr>
      </w:pPr>
      <w:r w:rsidRPr="000D4D39">
        <w:rPr>
          <w:rFonts w:ascii="Times New Roman" w:hAnsi="Times New Roman"/>
          <w:noProof/>
        </w:rPr>
        <w:t>[5]</w:t>
      </w:r>
      <w:r w:rsidRPr="000D4D39">
        <w:rPr>
          <w:rFonts w:ascii="Times New Roman" w:hAnsi="Times New Roman"/>
          <w:noProof/>
        </w:rPr>
        <w:tab/>
        <w:t xml:space="preserve">A. Terzis, J. Von Wolfersdorf, B. Weigand, and P. Ott, “Thermocouple thermal inertia effects on impingement heat transfer experiments using the transient liquid crystal technique,” </w:t>
      </w:r>
      <w:r w:rsidRPr="000D4D39">
        <w:rPr>
          <w:rFonts w:ascii="Times New Roman" w:hAnsi="Times New Roman"/>
          <w:i/>
          <w:iCs/>
          <w:noProof/>
        </w:rPr>
        <w:t>Meas. Sci. Technol.</w:t>
      </w:r>
      <w:r w:rsidRPr="000D4D39">
        <w:rPr>
          <w:rFonts w:ascii="Times New Roman" w:hAnsi="Times New Roman"/>
          <w:noProof/>
        </w:rPr>
        <w:t>, vol. 23, no. 11, 2012, doi: 10.1088/0957-0233/23/11/115303.</w:t>
      </w:r>
    </w:p>
    <w:p w14:paraId="792AA906" w14:textId="5F86CDA4" w:rsidR="007D1A84" w:rsidRDefault="000D4D39" w:rsidP="00E77719">
      <w:pPr>
        <w:pStyle w:val="BodyText2"/>
        <w:ind w:firstLine="0"/>
      </w:pPr>
      <w:r>
        <w:fldChar w:fldCharType="end"/>
      </w:r>
    </w:p>
    <w:sectPr w:rsidR="007D1A84" w:rsidSect="007D469E">
      <w:headerReference w:type="default" r:id="rId10"/>
      <w:footerReference w:type="default" r:id="rId11"/>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785E" w14:textId="77777777" w:rsidR="00B54CA1" w:rsidRDefault="00B54CA1">
      <w:r>
        <w:separator/>
      </w:r>
    </w:p>
  </w:endnote>
  <w:endnote w:type="continuationSeparator" w:id="0">
    <w:p w14:paraId="1D30E5CF" w14:textId="77777777" w:rsidR="00B54CA1" w:rsidRDefault="00B5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290EE83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w:t>
    </w:r>
    <w:r w:rsidR="00067D57">
      <w:rPr>
        <w:rStyle w:val="PageNumber"/>
        <w:rFonts w:ascii="Arial" w:hAnsi="Arial" w:cs="Arial"/>
        <w:sz w:val="20"/>
        <w:lang w:val="en-US"/>
      </w:rPr>
      <w:t xml:space="preserve">, </w:t>
    </w:r>
    <w:r w:rsidR="007D1A84">
      <w:rPr>
        <w:rStyle w:val="PageNumber"/>
        <w:rFonts w:ascii="Arial" w:hAnsi="Arial" w:cs="Arial"/>
        <w:sz w:val="20"/>
        <w:lang w:val="en-US"/>
      </w:rPr>
      <w:t>Italy</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7D1A84">
      <w:rPr>
        <w:rStyle w:val="PageNumber"/>
        <w:rFonts w:ascii="Arial" w:hAnsi="Arial" w:cs="Arial"/>
        <w:sz w:val="20"/>
      </w:rPr>
      <w:t>8</w:t>
    </w:r>
    <w:r w:rsidR="00067D57">
      <w:rPr>
        <w:rStyle w:val="PageNumber"/>
        <w:rFonts w:ascii="Arial" w:hAnsi="Arial" w:cs="Arial"/>
        <w:sz w:val="20"/>
      </w:rPr>
      <w:t xml:space="preserve"> – </w:t>
    </w:r>
    <w:r w:rsidR="007D1A84">
      <w:rPr>
        <w:rStyle w:val="PageNumber"/>
        <w:rFonts w:ascii="Arial" w:hAnsi="Arial" w:cs="Arial"/>
        <w:sz w:val="20"/>
      </w:rPr>
      <w:t>30</w:t>
    </w:r>
    <w:r w:rsidR="00067D57">
      <w:rPr>
        <w:rStyle w:val="PageNumber"/>
        <w:rFonts w:ascii="Arial" w:hAnsi="Arial" w:cs="Arial"/>
        <w:sz w:val="20"/>
      </w:rPr>
      <w:t xml:space="preserve"> September</w:t>
    </w:r>
    <w:r>
      <w:rPr>
        <w:rStyle w:val="PageNumber"/>
        <w:rFonts w:ascii="Arial" w:hAnsi="Arial" w:cs="Arial"/>
        <w:sz w:val="20"/>
      </w:rPr>
      <w:t xml:space="preserve"> 20</w:t>
    </w:r>
    <w:r w:rsidR="00067D57">
      <w:rPr>
        <w:rStyle w:val="PageNumber"/>
        <w:rFonts w:ascii="Arial" w:hAnsi="Arial" w:cs="Arial"/>
        <w:sz w:val="20"/>
      </w:rPr>
      <w:t>2</w:t>
    </w:r>
    <w:r w:rsidR="007D1A84">
      <w:rPr>
        <w:rStyle w:val="PageNumbe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679A" w14:textId="77777777" w:rsidR="00B54CA1" w:rsidRDefault="00B54CA1">
      <w:r>
        <w:separator/>
      </w:r>
    </w:p>
  </w:footnote>
  <w:footnote w:type="continuationSeparator" w:id="0">
    <w:p w14:paraId="5C95F654" w14:textId="77777777" w:rsidR="00B54CA1" w:rsidRDefault="00B54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60EC7FBC"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44FE6"/>
    <w:rsid w:val="00067D57"/>
    <w:rsid w:val="00097B33"/>
    <w:rsid w:val="000C33BA"/>
    <w:rsid w:val="000C53E5"/>
    <w:rsid w:val="000D4D39"/>
    <w:rsid w:val="0010792E"/>
    <w:rsid w:val="00112CA6"/>
    <w:rsid w:val="00123E3E"/>
    <w:rsid w:val="00137880"/>
    <w:rsid w:val="001453F3"/>
    <w:rsid w:val="001566A4"/>
    <w:rsid w:val="00186C1C"/>
    <w:rsid w:val="001C1594"/>
    <w:rsid w:val="001E50E8"/>
    <w:rsid w:val="001F67E9"/>
    <w:rsid w:val="00224934"/>
    <w:rsid w:val="0027233E"/>
    <w:rsid w:val="00281D04"/>
    <w:rsid w:val="002F7BB6"/>
    <w:rsid w:val="00330BF8"/>
    <w:rsid w:val="00333646"/>
    <w:rsid w:val="003A2321"/>
    <w:rsid w:val="003B4FF3"/>
    <w:rsid w:val="003D5D56"/>
    <w:rsid w:val="003F0A2B"/>
    <w:rsid w:val="003F4F59"/>
    <w:rsid w:val="00404301"/>
    <w:rsid w:val="00432938"/>
    <w:rsid w:val="00484753"/>
    <w:rsid w:val="004C7DCA"/>
    <w:rsid w:val="005141D4"/>
    <w:rsid w:val="00516CD3"/>
    <w:rsid w:val="00524B23"/>
    <w:rsid w:val="00562188"/>
    <w:rsid w:val="00570BA1"/>
    <w:rsid w:val="005E4DB1"/>
    <w:rsid w:val="006211FC"/>
    <w:rsid w:val="0064147D"/>
    <w:rsid w:val="00654A5D"/>
    <w:rsid w:val="00686AD2"/>
    <w:rsid w:val="006D07C9"/>
    <w:rsid w:val="006E391E"/>
    <w:rsid w:val="0079044C"/>
    <w:rsid w:val="00791559"/>
    <w:rsid w:val="007A321D"/>
    <w:rsid w:val="007A6153"/>
    <w:rsid w:val="007D0EB5"/>
    <w:rsid w:val="007D1A84"/>
    <w:rsid w:val="007D469E"/>
    <w:rsid w:val="008352B3"/>
    <w:rsid w:val="00850247"/>
    <w:rsid w:val="00864F2D"/>
    <w:rsid w:val="00867283"/>
    <w:rsid w:val="00894AE2"/>
    <w:rsid w:val="00895AF5"/>
    <w:rsid w:val="008D76C5"/>
    <w:rsid w:val="008E5054"/>
    <w:rsid w:val="008E64E1"/>
    <w:rsid w:val="008F5DA3"/>
    <w:rsid w:val="00903B53"/>
    <w:rsid w:val="00930D6E"/>
    <w:rsid w:val="00931635"/>
    <w:rsid w:val="00946319"/>
    <w:rsid w:val="00984570"/>
    <w:rsid w:val="00994ED0"/>
    <w:rsid w:val="009D6526"/>
    <w:rsid w:val="009F585A"/>
    <w:rsid w:val="00A82E8C"/>
    <w:rsid w:val="00AD3C9E"/>
    <w:rsid w:val="00AF2F58"/>
    <w:rsid w:val="00B21AA2"/>
    <w:rsid w:val="00B26CF1"/>
    <w:rsid w:val="00B47D74"/>
    <w:rsid w:val="00B54CA1"/>
    <w:rsid w:val="00B962DF"/>
    <w:rsid w:val="00BE3141"/>
    <w:rsid w:val="00BF32E0"/>
    <w:rsid w:val="00BF7F08"/>
    <w:rsid w:val="00C5269D"/>
    <w:rsid w:val="00C73411"/>
    <w:rsid w:val="00CA5105"/>
    <w:rsid w:val="00CB6334"/>
    <w:rsid w:val="00CD55FA"/>
    <w:rsid w:val="00CE5863"/>
    <w:rsid w:val="00CF348E"/>
    <w:rsid w:val="00D13B06"/>
    <w:rsid w:val="00D509C8"/>
    <w:rsid w:val="00D65C5F"/>
    <w:rsid w:val="00D66CB4"/>
    <w:rsid w:val="00D824BE"/>
    <w:rsid w:val="00DD22E9"/>
    <w:rsid w:val="00DD754E"/>
    <w:rsid w:val="00E04795"/>
    <w:rsid w:val="00E24438"/>
    <w:rsid w:val="00E30073"/>
    <w:rsid w:val="00E6314E"/>
    <w:rsid w:val="00E7043E"/>
    <w:rsid w:val="00E77719"/>
    <w:rsid w:val="00E814C8"/>
    <w:rsid w:val="00E903B2"/>
    <w:rsid w:val="00EA0EE9"/>
    <w:rsid w:val="00EE1492"/>
    <w:rsid w:val="00F55D49"/>
    <w:rsid w:val="00FA0597"/>
    <w:rsid w:val="00FA5D4D"/>
    <w:rsid w:val="00FB61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link w:val="BodyText2Char"/>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uiPriority w:val="59"/>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 w:type="character" w:styleId="PlaceholderText">
    <w:name w:val="Placeholder Text"/>
    <w:basedOn w:val="DefaultParagraphFont"/>
    <w:uiPriority w:val="99"/>
    <w:semiHidden/>
    <w:rsid w:val="00EA0EE9"/>
    <w:rPr>
      <w:color w:val="808080"/>
    </w:rPr>
  </w:style>
  <w:style w:type="table" w:styleId="TableGridLight">
    <w:name w:val="Grid Table Light"/>
    <w:basedOn w:val="TableNormal"/>
    <w:uiPriority w:val="40"/>
    <w:rsid w:val="005141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Char">
    <w:name w:val="Body Text 2 Char"/>
    <w:basedOn w:val="DefaultParagraphFont"/>
    <w:link w:val="BodyText2"/>
    <w:rsid w:val="00894AE2"/>
    <w:rPr>
      <w:kern w:val="14"/>
    </w:rPr>
  </w:style>
  <w:style w:type="paragraph" w:styleId="Caption">
    <w:name w:val="caption"/>
    <w:basedOn w:val="Normal"/>
    <w:next w:val="Normal"/>
    <w:uiPriority w:val="35"/>
    <w:unhideWhenUsed/>
    <w:qFormat/>
    <w:rsid w:val="00E7771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6604">
      <w:bodyDiv w:val="1"/>
      <w:marLeft w:val="0"/>
      <w:marRight w:val="0"/>
      <w:marTop w:val="0"/>
      <w:marBottom w:val="0"/>
      <w:divBdr>
        <w:top w:val="none" w:sz="0" w:space="0" w:color="auto"/>
        <w:left w:val="none" w:sz="0" w:space="0" w:color="auto"/>
        <w:bottom w:val="none" w:sz="0" w:space="0" w:color="auto"/>
        <w:right w:val="none" w:sz="0" w:space="0" w:color="auto"/>
      </w:divBdr>
    </w:div>
    <w:div w:id="527136165">
      <w:bodyDiv w:val="1"/>
      <w:marLeft w:val="0"/>
      <w:marRight w:val="0"/>
      <w:marTop w:val="0"/>
      <w:marBottom w:val="0"/>
      <w:divBdr>
        <w:top w:val="none" w:sz="0" w:space="0" w:color="auto"/>
        <w:left w:val="none" w:sz="0" w:space="0" w:color="auto"/>
        <w:bottom w:val="none" w:sz="0" w:space="0" w:color="auto"/>
        <w:right w:val="none" w:sz="0" w:space="0" w:color="auto"/>
      </w:divBdr>
    </w:div>
    <w:div w:id="1054432204">
      <w:bodyDiv w:val="1"/>
      <w:marLeft w:val="0"/>
      <w:marRight w:val="0"/>
      <w:marTop w:val="0"/>
      <w:marBottom w:val="0"/>
      <w:divBdr>
        <w:top w:val="none" w:sz="0" w:space="0" w:color="auto"/>
        <w:left w:val="none" w:sz="0" w:space="0" w:color="auto"/>
        <w:bottom w:val="none" w:sz="0" w:space="0" w:color="auto"/>
        <w:right w:val="none" w:sz="0" w:space="0" w:color="auto"/>
      </w:divBdr>
    </w:div>
    <w:div w:id="164010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7BA3A34-BF56-4686-9088-BF3B9C4A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2801</Words>
  <Characters>15126</Characters>
  <Application>Microsoft Office Word</Application>
  <DocSecurity>0</DocSecurity>
  <Lines>126</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Theofilos Efstathiadis </cp:lastModifiedBy>
  <cp:revision>2</cp:revision>
  <cp:lastPrinted>2022-08-12T16:46:00Z</cp:lastPrinted>
  <dcterms:created xsi:type="dcterms:W3CDTF">2022-09-05T13:05:00Z</dcterms:created>
  <dcterms:modified xsi:type="dcterms:W3CDTF">2022-09-05T13:05:00Z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6523882a-d24c-30ec-a170-a6191afddd6f</vt:lpwstr>
  </property>
  <property fmtid="{D5CDD505-2E9C-101B-9397-08002B2CF9AE}" pid="24" name="Mendeley Citation Style_1">
    <vt:lpwstr>http://www.zotero.org/styles/ieee</vt:lpwstr>
  </property>
</Properties>
</file>