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AA211" w14:textId="77777777" w:rsidR="002C78A1" w:rsidRPr="009C6A88" w:rsidRDefault="002C78A1" w:rsidP="002C78A1">
      <w:pPr>
        <w:jc w:val="center"/>
        <w:rPr>
          <w:b/>
          <w:caps/>
          <w:kern w:val="14"/>
          <w:sz w:val="24"/>
          <w:szCs w:val="20"/>
          <w:lang w:val="en-GB"/>
        </w:rPr>
      </w:pPr>
      <w:r w:rsidRPr="009C6A88">
        <w:rPr>
          <w:b/>
          <w:caps/>
          <w:kern w:val="14"/>
          <w:sz w:val="24"/>
          <w:szCs w:val="20"/>
          <w:lang w:val="en-GB"/>
        </w:rPr>
        <w:t>Experimental analysis of partial evaporation micro-ORC for low-temperature heat recovery</w:t>
      </w:r>
    </w:p>
    <w:p w14:paraId="160C5F8A" w14:textId="77777777" w:rsidR="007D469E" w:rsidRPr="002C78A1" w:rsidRDefault="007D469E">
      <w:pPr>
        <w:rPr>
          <w:lang w:val="en-GB"/>
        </w:rPr>
      </w:pPr>
    </w:p>
    <w:p w14:paraId="73B9E162" w14:textId="77777777" w:rsidR="007D469E" w:rsidRDefault="007D469E"/>
    <w:tbl>
      <w:tblPr>
        <w:tblW w:w="9360" w:type="dxa"/>
        <w:tblLayout w:type="fixed"/>
        <w:tblLook w:val="0000" w:firstRow="0" w:lastRow="0" w:firstColumn="0" w:lastColumn="0" w:noHBand="0" w:noVBand="0"/>
      </w:tblPr>
      <w:tblGrid>
        <w:gridCol w:w="9360"/>
      </w:tblGrid>
      <w:tr w:rsidR="002C78A1" w:rsidRPr="00665105" w14:paraId="5C7E3CA7" w14:textId="77777777" w:rsidTr="002C78A1">
        <w:trPr>
          <w:trHeight w:val="621"/>
        </w:trPr>
        <w:tc>
          <w:tcPr>
            <w:tcW w:w="9360" w:type="dxa"/>
          </w:tcPr>
          <w:p w14:paraId="38D4F315" w14:textId="0349FEE0" w:rsidR="002C78A1" w:rsidRPr="002C78A1" w:rsidRDefault="002C78A1" w:rsidP="002C78A1">
            <w:pPr>
              <w:pStyle w:val="Affiliation"/>
              <w:rPr>
                <w:lang w:val="it-IT"/>
              </w:rPr>
            </w:pPr>
            <w:r w:rsidRPr="009C6A88">
              <w:rPr>
                <w:b/>
                <w:lang w:val="it-IT"/>
              </w:rPr>
              <w:t xml:space="preserve">Maria Alessandra Ancona, Michele Bianchi, Lisa </w:t>
            </w:r>
            <w:proofErr w:type="spellStart"/>
            <w:r w:rsidRPr="009C6A88">
              <w:rPr>
                <w:b/>
                <w:lang w:val="it-IT"/>
              </w:rPr>
              <w:t>Branchini</w:t>
            </w:r>
            <w:proofErr w:type="spellEnd"/>
            <w:r w:rsidRPr="009C6A88">
              <w:rPr>
                <w:b/>
                <w:lang w:val="it-IT"/>
              </w:rPr>
              <w:t xml:space="preserve">, Andrea De Pascale, Francesco Melino, Saverio Ottaviano*, Antonio </w:t>
            </w:r>
            <w:proofErr w:type="spellStart"/>
            <w:r w:rsidRPr="009C6A88">
              <w:rPr>
                <w:b/>
                <w:lang w:val="it-IT"/>
              </w:rPr>
              <w:t>Peretto</w:t>
            </w:r>
            <w:proofErr w:type="spellEnd"/>
            <w:r w:rsidRPr="009C6A88">
              <w:rPr>
                <w:b/>
                <w:lang w:val="it-IT"/>
              </w:rPr>
              <w:t>, Chiara Poletto</w:t>
            </w:r>
            <w:r w:rsidRPr="002C78A1">
              <w:rPr>
                <w:lang w:val="it-IT"/>
              </w:rPr>
              <w:t xml:space="preserve"> </w:t>
            </w:r>
          </w:p>
        </w:tc>
      </w:tr>
      <w:tr w:rsidR="002C78A1" w:rsidRPr="00665105" w14:paraId="42050968" w14:textId="77777777" w:rsidTr="002C78A1">
        <w:tc>
          <w:tcPr>
            <w:tcW w:w="9360" w:type="dxa"/>
          </w:tcPr>
          <w:p w14:paraId="7424F981" w14:textId="77777777" w:rsidR="002C78A1" w:rsidRPr="00F961CA" w:rsidRDefault="002C78A1" w:rsidP="002C78A1">
            <w:pPr>
              <w:pStyle w:val="Affiliation"/>
            </w:pPr>
            <w:r w:rsidRPr="00F961CA">
              <w:t>Department of Industrial Engineering (DIN) – University of Bologna,</w:t>
            </w:r>
          </w:p>
          <w:p w14:paraId="2854386A" w14:textId="0B634BFA" w:rsidR="002C78A1" w:rsidRPr="002C78A1" w:rsidRDefault="002C78A1" w:rsidP="002C78A1">
            <w:pPr>
              <w:pStyle w:val="Affiliation"/>
              <w:rPr>
                <w:lang w:val="it-IT"/>
              </w:rPr>
            </w:pPr>
            <w:r w:rsidRPr="002C78A1">
              <w:rPr>
                <w:lang w:val="it-IT"/>
              </w:rPr>
              <w:t xml:space="preserve">Viale del Risorgimento 2, 40136 Bologna, </w:t>
            </w:r>
            <w:proofErr w:type="spellStart"/>
            <w:r w:rsidRPr="002C78A1">
              <w:rPr>
                <w:lang w:val="it-IT"/>
              </w:rPr>
              <w:t>Italy</w:t>
            </w:r>
            <w:proofErr w:type="spellEnd"/>
          </w:p>
        </w:tc>
      </w:tr>
    </w:tbl>
    <w:p w14:paraId="71E9C335" w14:textId="77777777" w:rsidR="007D469E" w:rsidRPr="002C78A1" w:rsidRDefault="007D469E">
      <w:pPr>
        <w:pStyle w:val="AbstractClauseTitle"/>
        <w:rPr>
          <w:lang w:val="it-IT"/>
        </w:rPr>
        <w:sectPr w:rsidR="007D469E" w:rsidRPr="002C78A1">
          <w:headerReference w:type="default" r:id="rId6"/>
          <w:footerReference w:type="default" r:id="rId7"/>
          <w:pgSz w:w="11909" w:h="16834" w:code="9"/>
          <w:pgMar w:top="1440" w:right="1440" w:bottom="1440" w:left="1440" w:header="720" w:footer="720" w:gutter="0"/>
          <w:cols w:space="720"/>
          <w:docGrid w:linePitch="360"/>
        </w:sectPr>
      </w:pPr>
    </w:p>
    <w:p w14:paraId="0EFE4DE5" w14:textId="77777777" w:rsidR="007D469E" w:rsidRPr="002C78A1" w:rsidRDefault="007D469E">
      <w:pPr>
        <w:pStyle w:val="AbstractClauseTitle"/>
        <w:rPr>
          <w:lang w:val="it-IT"/>
        </w:rPr>
      </w:pPr>
    </w:p>
    <w:p w14:paraId="4CFEF773" w14:textId="77777777" w:rsidR="007D469E" w:rsidRPr="002C78A1" w:rsidRDefault="007D469E">
      <w:pPr>
        <w:pStyle w:val="AbstractClauseTitle"/>
        <w:rPr>
          <w:lang w:val="it-IT"/>
        </w:rPr>
        <w:sectPr w:rsidR="007D469E" w:rsidRPr="002C78A1">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Pr="002C78A1" w:rsidRDefault="007D469E">
      <w:pPr>
        <w:pStyle w:val="AbstractClauseTitle"/>
        <w:rPr>
          <w:lang w:val="it-IT"/>
        </w:rPr>
      </w:pPr>
    </w:p>
    <w:p w14:paraId="6411A235" w14:textId="77777777" w:rsidR="007D469E" w:rsidRDefault="007D469E">
      <w:pPr>
        <w:pStyle w:val="AbstractClauseTitle"/>
      </w:pPr>
      <w:r>
        <w:t>Abstract</w:t>
      </w:r>
    </w:p>
    <w:p w14:paraId="6663F0DC" w14:textId="77777777" w:rsidR="002C78A1" w:rsidRPr="00F961CA" w:rsidRDefault="002C78A1" w:rsidP="002C78A1">
      <w:pPr>
        <w:pStyle w:val="Corpodeltesto2"/>
        <w:rPr>
          <w:lang w:val="en-GB"/>
        </w:rPr>
      </w:pPr>
      <w:r w:rsidRPr="00F961CA">
        <w:rPr>
          <w:lang w:val="en-GB"/>
        </w:rPr>
        <w:t>In this paper, we present an experimental assessment of the performance of a partial evaporating organic Rankine cycle (PE-ORC) power system. The system converts low</w:t>
      </w:r>
      <w:r w:rsidRPr="00F961CA">
        <w:rPr>
          <w:lang w:val="en-GB"/>
        </w:rPr>
        <w:noBreakHyphen/>
        <w:t xml:space="preserve">temperature heat into electrical </w:t>
      </w:r>
      <w:proofErr w:type="gramStart"/>
      <w:r w:rsidRPr="00F961CA">
        <w:rPr>
          <w:lang w:val="en-GB"/>
        </w:rPr>
        <w:t>energy,</w:t>
      </w:r>
      <w:proofErr w:type="gramEnd"/>
      <w:r w:rsidRPr="00F961CA">
        <w:rPr>
          <w:lang w:val="en-GB"/>
        </w:rPr>
        <w:t xml:space="preserve"> with a power size around one kW, thus suitable for micro-generation in the residential sector. Although the test bench </w:t>
      </w:r>
      <w:proofErr w:type="gramStart"/>
      <w:r w:rsidRPr="00F961CA">
        <w:rPr>
          <w:lang w:val="en-GB"/>
        </w:rPr>
        <w:t>was designed</w:t>
      </w:r>
      <w:proofErr w:type="gramEnd"/>
      <w:r w:rsidRPr="00F961CA">
        <w:rPr>
          <w:lang w:val="en-GB"/>
        </w:rPr>
        <w:t xml:space="preserve"> for operating with superheated vapour at the expander inlet, it has demonstrated to be able to work with the expansion occurring entirely in two-phase condition. </w:t>
      </w:r>
    </w:p>
    <w:p w14:paraId="231C0AC1" w14:textId="77777777" w:rsidR="002C78A1" w:rsidRPr="00F961CA" w:rsidRDefault="002C78A1" w:rsidP="002C78A1">
      <w:pPr>
        <w:pStyle w:val="Corpodeltesto2"/>
        <w:rPr>
          <w:lang w:val="en-GB"/>
        </w:rPr>
      </w:pPr>
      <w:r w:rsidRPr="00F961CA">
        <w:rPr>
          <w:lang w:val="en-GB"/>
        </w:rPr>
        <w:t xml:space="preserve">Since the direct measurement of the vapour quality is not possible using the sensors installed in the test rig, the state of the fluid in the two-phase condition </w:t>
      </w:r>
      <w:proofErr w:type="gramStart"/>
      <w:r w:rsidRPr="00F961CA">
        <w:rPr>
          <w:lang w:val="en-GB"/>
        </w:rPr>
        <w:t>is estimated</w:t>
      </w:r>
      <w:proofErr w:type="gramEnd"/>
      <w:r w:rsidRPr="00F961CA">
        <w:rPr>
          <w:lang w:val="en-GB"/>
        </w:rPr>
        <w:t xml:space="preserve"> by means of the thermal </w:t>
      </w:r>
      <w:bookmarkStart w:id="0" w:name="_GoBack"/>
      <w:bookmarkEnd w:id="0"/>
      <w:r w:rsidRPr="00F961CA">
        <w:rPr>
          <w:lang w:val="en-GB"/>
        </w:rPr>
        <w:t xml:space="preserve">balance at the heat exchangers, so the thermodynamic cycle can be evaluated. Temperatures of the heat source in the range between 40 °C and 75 °C have been tested, and for each temperature value the vapour quality at the expander inlet has been varied by regulating the feed-pump rotating speed. Experimental data </w:t>
      </w:r>
      <w:proofErr w:type="gramStart"/>
      <w:r w:rsidRPr="00F961CA">
        <w:rPr>
          <w:lang w:val="en-GB"/>
        </w:rPr>
        <w:t>are provided</w:t>
      </w:r>
      <w:proofErr w:type="gramEnd"/>
      <w:r w:rsidRPr="00F961CA">
        <w:rPr>
          <w:lang w:val="en-GB"/>
        </w:rPr>
        <w:t xml:space="preserve"> regarding the performance of the overall cycle, of the heat exchangers, of the expander and of the feed-pump. It </w:t>
      </w:r>
      <w:proofErr w:type="gramStart"/>
      <w:r w:rsidRPr="00F961CA">
        <w:rPr>
          <w:lang w:val="en-GB"/>
        </w:rPr>
        <w:t>was observed</w:t>
      </w:r>
      <w:proofErr w:type="gramEnd"/>
      <w:r w:rsidRPr="00F961CA">
        <w:rPr>
          <w:lang w:val="en-GB"/>
        </w:rPr>
        <w:t xml:space="preserve"> that the effectiveness of the evaporator and the efficiency of the pump are improved with respect to the operation with superheated vapour at the expander inlet. However, the overall performance are lower, especially due to the high ratio of the pump consumption over the expander produced power, commonly called </w:t>
      </w:r>
      <w:r w:rsidRPr="00F961CA">
        <w:rPr>
          <w:i/>
          <w:lang w:val="en-GB"/>
        </w:rPr>
        <w:t>back work ratio</w:t>
      </w:r>
      <w:r w:rsidRPr="00F961CA">
        <w:rPr>
          <w:lang w:val="en-GB"/>
        </w:rPr>
        <w:t xml:space="preserve"> (BWR). The latter, under some boundary conditions, resulted higher than the unit, meaning that the system was not able to produce net electrical power. </w:t>
      </w:r>
    </w:p>
    <w:p w14:paraId="05D557FF" w14:textId="77777777" w:rsidR="002C78A1" w:rsidRPr="00F961CA" w:rsidRDefault="002C78A1" w:rsidP="002C78A1">
      <w:pPr>
        <w:pStyle w:val="Corpodeltesto2"/>
        <w:rPr>
          <w:lang w:val="en-GB"/>
        </w:rPr>
      </w:pPr>
      <w:r w:rsidRPr="00F961CA">
        <w:rPr>
          <w:lang w:val="en-GB"/>
        </w:rPr>
        <w:t>The aim of the paper is to identify the design characteristics required by a micro-ORC energy system in order to enhance its performance in the PE operating mode.</w:t>
      </w:r>
    </w:p>
    <w:p w14:paraId="4ACF6B0E" w14:textId="041030C5" w:rsidR="007D469E" w:rsidRDefault="007D469E" w:rsidP="007D469E">
      <w:pPr>
        <w:pStyle w:val="NomenclatureClauseTitle"/>
      </w:pPr>
      <w:r>
        <w:t>RESULTS and DISCUSSION</w:t>
      </w:r>
    </w:p>
    <w:p w14:paraId="19DD4F7E" w14:textId="20521714" w:rsidR="00665105" w:rsidRDefault="0026453A" w:rsidP="0026453A">
      <w:pPr>
        <w:pStyle w:val="Corpodeltesto2"/>
      </w:pPr>
      <w:r>
        <w:t xml:space="preserve">Figure </w:t>
      </w:r>
      <w:proofErr w:type="gramStart"/>
      <w:r>
        <w:t>1</w:t>
      </w:r>
      <w:proofErr w:type="gramEnd"/>
      <w:r>
        <w:t xml:space="preserve"> shows how the </w:t>
      </w:r>
      <w:r w:rsidR="00665105">
        <w:t xml:space="preserve">electrical power produced by the expander varies with the </w:t>
      </w:r>
      <w:r>
        <w:t xml:space="preserve">vapor quality </w:t>
      </w:r>
      <w:r w:rsidR="00665105">
        <w:t xml:space="preserve">of the working fluid </w:t>
      </w:r>
      <w:r>
        <w:t>at the expander inlet</w:t>
      </w:r>
      <w:r w:rsidR="00665105">
        <w:t>,</w:t>
      </w:r>
      <w:r>
        <w:t xml:space="preserve"> and with the temperature of the heat source. </w:t>
      </w:r>
      <w:r w:rsidR="00665105">
        <w:t>The expander power mainly depends on the heat source temperature, with</w:t>
      </w:r>
      <w:r w:rsidR="00493AEC">
        <w:t xml:space="preserve"> a value</w:t>
      </w:r>
      <w:r w:rsidR="00665105">
        <w:t xml:space="preserve"> close to 1200 W</w:t>
      </w:r>
      <w:r w:rsidR="00E637E3">
        <w:t xml:space="preserve"> registered</w:t>
      </w:r>
      <w:r w:rsidR="00665105">
        <w:t xml:space="preserve"> </w:t>
      </w:r>
      <w:r w:rsidR="00E637E3">
        <w:t>with</w:t>
      </w:r>
      <w:r w:rsidR="00493AEC">
        <w:t xml:space="preserve"> a temperature of 75 °C and quality approximately equal to one. At constant heat source temperature, the electrical power decreases with the reduction of the vapor quality</w:t>
      </w:r>
      <w:r w:rsidR="00E637E3">
        <w:t>, which is the result of the increment of the flow rate of the working fluid</w:t>
      </w:r>
      <w:r w:rsidR="00493AEC">
        <w:t xml:space="preserve">. The </w:t>
      </w:r>
      <w:r w:rsidR="00493AEC">
        <w:t xml:space="preserve">power </w:t>
      </w:r>
      <w:r w:rsidR="00493AEC">
        <w:t xml:space="preserve">reduction is more evident at high temperature of the heat </w:t>
      </w:r>
      <w:r w:rsidR="00E637E3">
        <w:t xml:space="preserve">source. This behavior is in contrast with the regular operation of the micro-ORC with dry expansion, in which the increment of the flow rate leads to an increment of the pressure difference across the expander, and </w:t>
      </w:r>
      <w:r w:rsidR="00A63A27">
        <w:t xml:space="preserve">therefore </w:t>
      </w:r>
      <w:r w:rsidR="00E637E3">
        <w:t>to the rise of the expander power.</w:t>
      </w:r>
    </w:p>
    <w:tbl>
      <w:tblPr>
        <w:tblW w:w="0" w:type="auto"/>
        <w:jc w:val="center"/>
        <w:tblLook w:val="00A0" w:firstRow="1" w:lastRow="0" w:firstColumn="1" w:lastColumn="0" w:noHBand="0" w:noVBand="0"/>
      </w:tblPr>
      <w:tblGrid>
        <w:gridCol w:w="9029"/>
      </w:tblGrid>
      <w:tr w:rsidR="007D469E" w14:paraId="00A388D8" w14:textId="77777777" w:rsidTr="00E637E3">
        <w:trPr>
          <w:jc w:val="center"/>
        </w:trPr>
        <w:tc>
          <w:tcPr>
            <w:tcW w:w="9029" w:type="dxa"/>
            <w:shd w:val="clear" w:color="auto" w:fill="auto"/>
          </w:tcPr>
          <w:p w14:paraId="17C52184" w14:textId="3EFF0C6A" w:rsidR="007D469E" w:rsidRPr="00C0128C" w:rsidRDefault="00665105" w:rsidP="00E3077A">
            <w:pPr>
              <w:pStyle w:val="Corpodeltesto2"/>
              <w:ind w:firstLine="0"/>
              <w:jc w:val="center"/>
            </w:pPr>
            <w:r w:rsidRPr="00665105">
              <w:rPr>
                <w:noProof/>
              </w:rPr>
              <w:drawing>
                <wp:inline distT="0" distB="0" distL="0" distR="0" wp14:anchorId="393B1D7E" wp14:editId="49E2867A">
                  <wp:extent cx="3060000" cy="2294088"/>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000" cy="2294088"/>
                          </a:xfrm>
                          <a:prstGeom prst="rect">
                            <a:avLst/>
                          </a:prstGeom>
                          <a:noFill/>
                          <a:ln>
                            <a:noFill/>
                          </a:ln>
                        </pic:spPr>
                      </pic:pic>
                    </a:graphicData>
                  </a:graphic>
                </wp:inline>
              </w:drawing>
            </w:r>
          </w:p>
        </w:tc>
      </w:tr>
      <w:tr w:rsidR="007D469E" w14:paraId="5C65E74C" w14:textId="77777777" w:rsidTr="00E637E3">
        <w:trPr>
          <w:trHeight w:val="68"/>
          <w:jc w:val="center"/>
        </w:trPr>
        <w:tc>
          <w:tcPr>
            <w:tcW w:w="9029" w:type="dxa"/>
            <w:shd w:val="clear" w:color="auto" w:fill="auto"/>
          </w:tcPr>
          <w:p w14:paraId="1CC56950" w14:textId="2DB9BBD6" w:rsidR="007D469E" w:rsidRPr="00C0128C" w:rsidRDefault="007D469E" w:rsidP="00493AEC">
            <w:pPr>
              <w:pStyle w:val="Corpodeltesto2"/>
              <w:ind w:firstLine="0"/>
              <w:jc w:val="center"/>
              <w:rPr>
                <w:b/>
              </w:rPr>
            </w:pPr>
            <w:r w:rsidRPr="00C0128C">
              <w:rPr>
                <w:b/>
              </w:rPr>
              <w:t xml:space="preserve">Figure 1. </w:t>
            </w:r>
            <w:r w:rsidR="00665105" w:rsidRPr="00493AEC">
              <w:rPr>
                <w:b/>
              </w:rPr>
              <w:t>Expander electrical power versus vapor quality at the expander inlet, at different heat source temperature.</w:t>
            </w:r>
          </w:p>
        </w:tc>
      </w:tr>
    </w:tbl>
    <w:p w14:paraId="2D4F5C80" w14:textId="68B1A3D0" w:rsidR="007D469E" w:rsidRDefault="007D469E" w:rsidP="004B680B">
      <w:pPr>
        <w:pStyle w:val="Corpodeltesto2"/>
        <w:ind w:firstLine="0"/>
      </w:pPr>
    </w:p>
    <w:sectPr w:rsidR="007D469E"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47CB3" w14:textId="77777777" w:rsidR="00B81800" w:rsidRDefault="00B81800">
      <w:r>
        <w:separator/>
      </w:r>
    </w:p>
  </w:endnote>
  <w:endnote w:type="continuationSeparator" w:id="0">
    <w:p w14:paraId="3C9F59FA" w14:textId="77777777" w:rsidR="00B81800" w:rsidRDefault="00B8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FDAEB" w14:textId="04341EC4" w:rsidR="007D469E" w:rsidRDefault="007D469E" w:rsidP="00C73411">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D21D7A">
      <w:rPr>
        <w:rStyle w:val="Numeropagina"/>
        <w:noProof/>
      </w:rPr>
      <w:t>1</w:t>
    </w:r>
    <w:r>
      <w:rPr>
        <w:rStyle w:val="Numeropagina"/>
      </w:rPr>
      <w:fldChar w:fldCharType="end"/>
    </w:r>
    <w:r>
      <w:rPr>
        <w:rStyle w:val="Numeropagina"/>
      </w:rPr>
      <w:tab/>
    </w:r>
    <w:r>
      <w:rPr>
        <w:rStyle w:val="Numeropagina"/>
      </w:rPr>
      <w:tab/>
    </w:r>
    <w:r w:rsidR="007D1A84">
      <w:rPr>
        <w:rStyle w:val="Numeropagina"/>
        <w:rFonts w:ascii="Arial" w:hAnsi="Arial" w:cs="Arial"/>
        <w:sz w:val="20"/>
        <w:lang w:val="en-US"/>
      </w:rPr>
      <w:t>Pisa</w:t>
    </w:r>
    <w:r w:rsidR="00067D57">
      <w:rPr>
        <w:rStyle w:val="Numeropagina"/>
        <w:rFonts w:ascii="Arial" w:hAnsi="Arial" w:cs="Arial"/>
        <w:sz w:val="20"/>
        <w:lang w:val="en-US"/>
      </w:rPr>
      <w:t xml:space="preserve">, </w:t>
    </w:r>
    <w:r w:rsidR="007D1A84">
      <w:rPr>
        <w:rStyle w:val="Numeropagina"/>
        <w:rFonts w:ascii="Arial" w:hAnsi="Arial" w:cs="Arial"/>
        <w:sz w:val="20"/>
        <w:lang w:val="en-US"/>
      </w:rPr>
      <w:t>Italy</w:t>
    </w:r>
    <w:r w:rsidR="0027233E">
      <w:rPr>
        <w:rStyle w:val="Numeropagina"/>
        <w:rFonts w:ascii="Arial" w:hAnsi="Arial" w:cs="Arial"/>
        <w:sz w:val="20"/>
      </w:rPr>
      <w:tab/>
    </w:r>
    <w:r w:rsidR="0027233E">
      <w:rPr>
        <w:rStyle w:val="Numeropagina"/>
        <w:rFonts w:ascii="Arial" w:hAnsi="Arial" w:cs="Arial"/>
        <w:sz w:val="20"/>
      </w:rPr>
      <w:tab/>
    </w:r>
    <w:r w:rsidR="003A2321">
      <w:rPr>
        <w:rStyle w:val="Numeropagina"/>
        <w:rFonts w:ascii="Arial" w:hAnsi="Arial" w:cs="Arial"/>
        <w:sz w:val="20"/>
      </w:rPr>
      <w:t>2</w:t>
    </w:r>
    <w:r w:rsidR="007D1A84">
      <w:rPr>
        <w:rStyle w:val="Numeropagina"/>
        <w:rFonts w:ascii="Arial" w:hAnsi="Arial" w:cs="Arial"/>
        <w:sz w:val="20"/>
      </w:rPr>
      <w:t>8</w:t>
    </w:r>
    <w:r w:rsidR="00067D57">
      <w:rPr>
        <w:rStyle w:val="Numeropagina"/>
        <w:rFonts w:ascii="Arial" w:hAnsi="Arial" w:cs="Arial"/>
        <w:sz w:val="20"/>
      </w:rPr>
      <w:t xml:space="preserve"> – </w:t>
    </w:r>
    <w:r w:rsidR="007D1A84">
      <w:rPr>
        <w:rStyle w:val="Numeropagina"/>
        <w:rFonts w:ascii="Arial" w:hAnsi="Arial" w:cs="Arial"/>
        <w:sz w:val="20"/>
      </w:rPr>
      <w:t>30</w:t>
    </w:r>
    <w:r w:rsidR="00067D57">
      <w:rPr>
        <w:rStyle w:val="Numeropagina"/>
        <w:rFonts w:ascii="Arial" w:hAnsi="Arial" w:cs="Arial"/>
        <w:sz w:val="20"/>
      </w:rPr>
      <w:t xml:space="preserve"> September</w:t>
    </w:r>
    <w:r>
      <w:rPr>
        <w:rStyle w:val="Numeropagina"/>
        <w:rFonts w:ascii="Arial" w:hAnsi="Arial" w:cs="Arial"/>
        <w:sz w:val="20"/>
      </w:rPr>
      <w:t xml:space="preserve"> 20</w:t>
    </w:r>
    <w:r w:rsidR="00067D57">
      <w:rPr>
        <w:rStyle w:val="Numeropagina"/>
        <w:rFonts w:ascii="Arial" w:hAnsi="Arial" w:cs="Arial"/>
        <w:sz w:val="20"/>
      </w:rPr>
      <w:t>2</w:t>
    </w:r>
    <w:r w:rsidR="007D1A84">
      <w:rPr>
        <w:rStyle w:val="Numeropagina"/>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ACB9B" w14:textId="0013E069" w:rsidR="007D469E" w:rsidRDefault="007D469E" w:rsidP="007D1A84">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4B680B">
      <w:rPr>
        <w:rStyle w:val="Numeropagina"/>
        <w:noProof/>
      </w:rPr>
      <w:t>2</w:t>
    </w:r>
    <w:r>
      <w:rPr>
        <w:rStyle w:val="Numeropagina"/>
      </w:rPr>
      <w:fldChar w:fldCharType="end"/>
    </w:r>
    <w:r>
      <w:rPr>
        <w:rStyle w:val="Numeropagina"/>
      </w:rPr>
      <w:tab/>
    </w:r>
    <w:r>
      <w:rPr>
        <w:rStyle w:val="Numeropagina"/>
      </w:rPr>
      <w:tab/>
    </w:r>
    <w:r w:rsidR="007D1A84">
      <w:rPr>
        <w:rStyle w:val="Numeropagina"/>
        <w:rFonts w:ascii="Arial" w:hAnsi="Arial" w:cs="Arial"/>
        <w:sz w:val="20"/>
        <w:lang w:val="en-US"/>
      </w:rPr>
      <w:t>Pisa, Italy</w:t>
    </w:r>
    <w:r w:rsidR="007D1A84">
      <w:rPr>
        <w:rStyle w:val="Numeropagina"/>
        <w:rFonts w:ascii="Arial" w:hAnsi="Arial" w:cs="Arial"/>
        <w:sz w:val="20"/>
      </w:rPr>
      <w:tab/>
    </w:r>
    <w:r w:rsidR="007D1A84">
      <w:rPr>
        <w:rStyle w:val="Numeropagina"/>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245A2" w14:textId="77777777" w:rsidR="00B81800" w:rsidRDefault="00B81800">
      <w:r>
        <w:separator/>
      </w:r>
    </w:p>
  </w:footnote>
  <w:footnote w:type="continuationSeparator" w:id="0">
    <w:p w14:paraId="1AF54222" w14:textId="77777777" w:rsidR="00B81800" w:rsidRDefault="00B81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9B63E" w14:textId="60EC7FBC" w:rsidR="00D824BE" w:rsidRDefault="00D824BE" w:rsidP="007D469E">
    <w:pPr>
      <w:pStyle w:val="Intestazione"/>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Intestazione"/>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50C38" w14:textId="60D21D70" w:rsidR="007D1A84" w:rsidRDefault="007D1A84" w:rsidP="007D1A84">
    <w:pPr>
      <w:pStyle w:val="Intestazione"/>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Intestazione"/>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53"/>
    <w:rsid w:val="00040C05"/>
    <w:rsid w:val="00067D57"/>
    <w:rsid w:val="00137880"/>
    <w:rsid w:val="0026453A"/>
    <w:rsid w:val="0027233E"/>
    <w:rsid w:val="002C78A1"/>
    <w:rsid w:val="00330BF8"/>
    <w:rsid w:val="00333646"/>
    <w:rsid w:val="003A2321"/>
    <w:rsid w:val="003D5D56"/>
    <w:rsid w:val="00404301"/>
    <w:rsid w:val="00493AEC"/>
    <w:rsid w:val="004B680B"/>
    <w:rsid w:val="00562188"/>
    <w:rsid w:val="00570BA1"/>
    <w:rsid w:val="006211FC"/>
    <w:rsid w:val="00665105"/>
    <w:rsid w:val="00791559"/>
    <w:rsid w:val="007A275A"/>
    <w:rsid w:val="007A6153"/>
    <w:rsid w:val="007D1A84"/>
    <w:rsid w:val="007D469E"/>
    <w:rsid w:val="008C6375"/>
    <w:rsid w:val="008D76C5"/>
    <w:rsid w:val="008F5DA3"/>
    <w:rsid w:val="00903B53"/>
    <w:rsid w:val="00930D6E"/>
    <w:rsid w:val="00931635"/>
    <w:rsid w:val="009F585A"/>
    <w:rsid w:val="00A63A27"/>
    <w:rsid w:val="00B47D74"/>
    <w:rsid w:val="00B81800"/>
    <w:rsid w:val="00B962DF"/>
    <w:rsid w:val="00BF32E0"/>
    <w:rsid w:val="00C0128C"/>
    <w:rsid w:val="00C73411"/>
    <w:rsid w:val="00CF348E"/>
    <w:rsid w:val="00D13B06"/>
    <w:rsid w:val="00D21D7A"/>
    <w:rsid w:val="00D66CB4"/>
    <w:rsid w:val="00D824BE"/>
    <w:rsid w:val="00DA3C4B"/>
    <w:rsid w:val="00DD22E9"/>
    <w:rsid w:val="00E3077A"/>
    <w:rsid w:val="00E637E3"/>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hAnsi="Arial"/>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cedellefigure">
    <w:name w:val="table of figures"/>
    <w:aliases w:val="Table of Tables"/>
    <w:basedOn w:val="Normale"/>
    <w:next w:val="Normale"/>
    <w:semiHidden/>
    <w:pPr>
      <w:ind w:left="480" w:hanging="480"/>
      <w:jc w:val="both"/>
    </w:pPr>
    <w:rPr>
      <w:sz w:val="24"/>
      <w:szCs w:val="20"/>
      <w:lang w:val="en-GB"/>
    </w:rPr>
  </w:style>
  <w:style w:type="paragraph" w:customStyle="1" w:styleId="AbstractClauseTitle">
    <w:name w:val="Abstract Clause Title"/>
    <w:basedOn w:val="Normale"/>
    <w:next w:val="Corpodeltesto2"/>
    <w:pPr>
      <w:keepNext/>
      <w:suppressAutoHyphens/>
      <w:overflowPunct w:val="0"/>
      <w:autoSpaceDE w:val="0"/>
      <w:autoSpaceDN w:val="0"/>
      <w:adjustRightInd w:val="0"/>
      <w:jc w:val="both"/>
      <w:textAlignment w:val="baseline"/>
    </w:pPr>
    <w:rPr>
      <w:b/>
      <w:caps/>
      <w:kern w:val="14"/>
      <w:szCs w:val="20"/>
    </w:rPr>
  </w:style>
  <w:style w:type="paragraph" w:styleId="Corpodeltesto2">
    <w:name w:val="Body Text 2"/>
    <w:basedOn w:val="Normale"/>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e"/>
    <w:next w:val="Corpodeltesto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e"/>
    <w:next w:val="Corpodeltesto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e"/>
    <w:next w:val="Corpodeltesto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e"/>
    <w:pPr>
      <w:suppressAutoHyphens/>
      <w:overflowPunct w:val="0"/>
      <w:autoSpaceDE w:val="0"/>
      <w:autoSpaceDN w:val="0"/>
      <w:adjustRightInd w:val="0"/>
      <w:jc w:val="center"/>
      <w:textAlignment w:val="baseline"/>
    </w:pPr>
    <w:rPr>
      <w:kern w:val="14"/>
      <w:szCs w:val="20"/>
    </w:rPr>
  </w:style>
  <w:style w:type="paragraph" w:styleId="Titolo">
    <w:name w:val="Title"/>
    <w:basedOn w:val="Normale"/>
    <w:qFormat/>
    <w:pPr>
      <w:suppressAutoHyphens/>
      <w:overflowPunct w:val="0"/>
      <w:autoSpaceDE w:val="0"/>
      <w:autoSpaceDN w:val="0"/>
      <w:adjustRightInd w:val="0"/>
      <w:spacing w:before="760"/>
      <w:jc w:val="center"/>
      <w:textAlignment w:val="baseline"/>
    </w:pPr>
    <w:rPr>
      <w:b/>
      <w:caps/>
      <w:kern w:val="14"/>
      <w:sz w:val="24"/>
      <w:szCs w:val="20"/>
    </w:rPr>
  </w:style>
  <w:style w:type="paragraph" w:styleId="Intestazione">
    <w:name w:val="header"/>
    <w:basedOn w:val="Normale"/>
    <w:link w:val="IntestazioneCarattere"/>
    <w:pPr>
      <w:tabs>
        <w:tab w:val="center" w:pos="4320"/>
        <w:tab w:val="right" w:pos="8640"/>
      </w:tabs>
    </w:pPr>
    <w:rPr>
      <w:rFonts w:ascii="Times New Roman" w:hAnsi="Times New Roman"/>
      <w:sz w:val="24"/>
      <w:lang w:val="en-GB"/>
    </w:rPr>
  </w:style>
  <w:style w:type="paragraph" w:styleId="Pidipagina">
    <w:name w:val="footer"/>
    <w:basedOn w:val="Normale"/>
    <w:link w:val="PidipaginaCarattere"/>
    <w:pPr>
      <w:tabs>
        <w:tab w:val="center" w:pos="4320"/>
        <w:tab w:val="right" w:pos="8640"/>
      </w:tabs>
    </w:pPr>
    <w:rPr>
      <w:rFonts w:ascii="Times New Roman" w:hAnsi="Times New Roman"/>
      <w:sz w:val="24"/>
      <w:lang w:val="en-GB"/>
    </w:rPr>
  </w:style>
  <w:style w:type="character" w:styleId="Numeropagina">
    <w:name w:val="page number"/>
    <w:basedOn w:val="Carpredefinitoparagrafo"/>
  </w:style>
  <w:style w:type="table" w:styleId="Grigliatabella">
    <w:name w:val="Table Grid"/>
    <w:basedOn w:val="Tabellanormale"/>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7D1A84"/>
    <w:rPr>
      <w:sz w:val="24"/>
      <w:szCs w:val="24"/>
      <w:lang w:val="en-GB"/>
    </w:rPr>
  </w:style>
  <w:style w:type="character" w:customStyle="1" w:styleId="PidipaginaCarattere">
    <w:name w:val="Piè di pagina Carattere"/>
    <w:basedOn w:val="Carpredefinitoparagrafo"/>
    <w:link w:val="Pidipagina"/>
    <w:rsid w:val="007D1A8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2710</Characters>
  <Application>Microsoft Office Word</Application>
  <DocSecurity>0</DocSecurity>
  <Lines>22</Lines>
  <Paragraphs>6</Paragraphs>
  <ScaleCrop>false</ScaleCrop>
  <HeadingPairs>
    <vt:vector size="6" baseType="variant">
      <vt:variant>
        <vt:lpstr>Titolo</vt:lpstr>
      </vt:variant>
      <vt:variant>
        <vt:i4>1</vt:i4>
      </vt:variant>
      <vt:variant>
        <vt:lpstr>Title</vt:lpstr>
      </vt:variant>
      <vt:variant>
        <vt:i4>1</vt:i4>
      </vt:variant>
      <vt:variant>
        <vt:lpstr>Τίτλος</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Saverio Ottaviano</cp:lastModifiedBy>
  <cp:revision>7</cp:revision>
  <dcterms:created xsi:type="dcterms:W3CDTF">2022-07-07T10:26:00Z</dcterms:created>
  <dcterms:modified xsi:type="dcterms:W3CDTF">2022-07-07T13:32:00Z</dcterms:modified>
</cp:coreProperties>
</file>