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BAF7" w14:textId="7774821A" w:rsidR="007D469E" w:rsidRDefault="002D37F6">
      <w:pPr>
        <w:pStyle w:val="Title"/>
      </w:pPr>
      <w:r>
        <w:t>Probabilistic Approach for Correction of Five hole probes: Effect of Mach and wall interaction</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2D95F186" w:rsidR="007D469E" w:rsidRDefault="002D37F6">
            <w:pPr>
              <w:pStyle w:val="Affiliation"/>
            </w:pPr>
            <w:proofErr w:type="spellStart"/>
            <w:r>
              <w:t>Lakshya</w:t>
            </w:r>
            <w:proofErr w:type="spellEnd"/>
            <w:r>
              <w:t xml:space="preserve"> Bhatnagar</w:t>
            </w:r>
          </w:p>
          <w:p w14:paraId="10560232" w14:textId="09BA2703" w:rsidR="007D469E" w:rsidRDefault="002D37F6">
            <w:pPr>
              <w:pStyle w:val="Affiliation"/>
            </w:pPr>
            <w:r>
              <w:t xml:space="preserve">Purdue University </w:t>
            </w:r>
          </w:p>
          <w:p w14:paraId="457753BD" w14:textId="77777777" w:rsidR="002D37F6" w:rsidRDefault="002D37F6">
            <w:pPr>
              <w:pStyle w:val="Affiliation"/>
            </w:pPr>
          </w:p>
          <w:p w14:paraId="4E9EDF0D" w14:textId="21AA937F" w:rsidR="002D37F6" w:rsidRDefault="002D37F6" w:rsidP="002D37F6">
            <w:pPr>
              <w:pStyle w:val="Affiliation"/>
            </w:pPr>
            <w:r>
              <w:t xml:space="preserve">Andrea </w:t>
            </w:r>
            <w:proofErr w:type="spellStart"/>
            <w:r>
              <w:t>Ruan</w:t>
            </w:r>
            <w:proofErr w:type="spellEnd"/>
          </w:p>
          <w:p w14:paraId="07206E23" w14:textId="3FDFD9FA" w:rsidR="002D37F6" w:rsidRDefault="002D37F6" w:rsidP="002D37F6">
            <w:pPr>
              <w:pStyle w:val="Affiliation"/>
            </w:pPr>
            <w:r>
              <w:t>Purdue University</w:t>
            </w:r>
          </w:p>
        </w:tc>
        <w:tc>
          <w:tcPr>
            <w:tcW w:w="4680" w:type="dxa"/>
          </w:tcPr>
          <w:p w14:paraId="022DF9CE" w14:textId="02881D68" w:rsidR="007D469E" w:rsidRDefault="002D37F6">
            <w:pPr>
              <w:pStyle w:val="Affiliation"/>
            </w:pPr>
            <w:r>
              <w:t xml:space="preserve">Guillermo Paniagua </w:t>
            </w:r>
          </w:p>
          <w:p w14:paraId="3ADCD3C2" w14:textId="39E9EE18" w:rsidR="002D37F6" w:rsidRDefault="002D37F6">
            <w:pPr>
              <w:pStyle w:val="Affiliation"/>
            </w:pPr>
            <w:r>
              <w:t xml:space="preserve">Purdue University </w:t>
            </w:r>
          </w:p>
          <w:p w14:paraId="5E5FD334" w14:textId="77777777" w:rsidR="002D37F6" w:rsidRDefault="002D37F6">
            <w:pPr>
              <w:pStyle w:val="Affiliation"/>
            </w:pPr>
          </w:p>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7"/>
          <w:footerReference w:type="default" r:id="rId8"/>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9"/>
          <w:footerReference w:type="default" r:id="rId10"/>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0519F3B6" w14:textId="77777777" w:rsidR="002D37F6" w:rsidRPr="00017C7C" w:rsidRDefault="002D37F6" w:rsidP="002D37F6">
      <w:pPr>
        <w:ind w:firstLine="720"/>
        <w:jc w:val="both"/>
        <w:rPr>
          <w:rFonts w:ascii="Times New Roman" w:hAnsi="Times New Roman"/>
        </w:rPr>
      </w:pPr>
      <w:r>
        <w:rPr>
          <w:rFonts w:ascii="Times New Roman" w:hAnsi="Times New Roman"/>
        </w:rPr>
        <w:t>Five-Hole directional probes are commonly used in experimental fluid mechanics to assess flow angles, total and static pressure. Five-hole probes are calibrated to relate</w:t>
      </w:r>
      <w:bookmarkStart w:id="0" w:name="_GoBack"/>
      <w:bookmarkEnd w:id="0"/>
      <w:r>
        <w:rPr>
          <w:rFonts w:ascii="Times New Roman" w:hAnsi="Times New Roman"/>
        </w:rPr>
        <w:t xml:space="preserve"> these quantities to the pressure readings. This relationship between the pressure reading changes due to the distortion of the flow field and may not be the same as in calibration due to change in flow Mach and Reynold’s number and due to the interaction of the probe and the test section causing local distortion near the sensing holes. These effects, which will be called probe-test section coupling effects, are studied numerically in this manuscript. A correction methodology is developed by analyzing the variation of the pressure change due to these effects. To reduce the number of CFD simulations required for the range of the calibrated angle, a Gaussian regression model is developed and this is used to provide enough data to generate a correction model. This methodology is then applied to an experimental calibration map to correct data taken at Mach number of 0.6 with a calibration performed at Mach 0.2.</w:t>
      </w:r>
    </w:p>
    <w:p w14:paraId="0151206C" w14:textId="77777777" w:rsidR="007D469E" w:rsidRDefault="007D469E">
      <w:pPr>
        <w:pStyle w:val="BodyText2"/>
      </w:pPr>
    </w:p>
    <w:p w14:paraId="205582DD" w14:textId="77777777" w:rsidR="007D469E" w:rsidRDefault="007D469E">
      <w:pPr>
        <w:pStyle w:val="AbstractClauseTitle"/>
      </w:pPr>
      <w:r>
        <w:t>introduction</w:t>
      </w:r>
    </w:p>
    <w:p w14:paraId="3797A309" w14:textId="6646216A" w:rsidR="002D37F6" w:rsidRPr="002D37F6" w:rsidRDefault="002D37F6" w:rsidP="00E16DC9">
      <w:pPr>
        <w:ind w:firstLine="720"/>
        <w:jc w:val="both"/>
        <w:rPr>
          <w:rFonts w:ascii="Times New Roman" w:hAnsi="Times New Roman"/>
        </w:rPr>
      </w:pPr>
      <w:r w:rsidRPr="002D37F6">
        <w:rPr>
          <w:rFonts w:ascii="Times New Roman" w:hAnsi="Times New Roman"/>
        </w:rPr>
        <w:t xml:space="preserve">Aerodynamic probes or directional probes are used for the measurement of flow angles (yaw and pitch), total and static pressure with the help of the same probe. They need to be calibrated </w:t>
      </w:r>
      <w:r>
        <w:rPr>
          <w:rFonts w:ascii="Times New Roman" w:hAnsi="Times New Roman"/>
        </w:rPr>
        <w:t xml:space="preserve">to </w:t>
      </w:r>
      <w:r w:rsidRPr="002D37F6">
        <w:rPr>
          <w:rFonts w:ascii="Times New Roman" w:hAnsi="Times New Roman"/>
        </w:rPr>
        <w:t>relate their raw measurement to derived quantities</w:t>
      </w:r>
      <w:r>
        <w:rPr>
          <w:rFonts w:ascii="Times New Roman" w:hAnsi="Times New Roman"/>
        </w:rPr>
        <w:t xml:space="preserve">. </w:t>
      </w:r>
      <w:r w:rsidRPr="002D37F6">
        <w:rPr>
          <w:rFonts w:ascii="Times New Roman" w:hAnsi="Times New Roman"/>
        </w:rPr>
        <w:t xml:space="preserve">However, the calibration process does not consider the effect of probe blockage and the difference in experimental to calibration condition that changes the mapping of the raw measurement to derived quantities. This is important because the calibration is not done in exactly the same flow condition the probes see in the experiment. Gaetani and Persico </w:t>
      </w:r>
      <w:r>
        <w:rPr>
          <w:rFonts w:ascii="Times New Roman" w:hAnsi="Times New Roman"/>
        </w:rPr>
        <w:fldChar w:fldCharType="begin"/>
      </w:r>
      <w:r>
        <w:rPr>
          <w:rFonts w:ascii="Times New Roman" w:hAnsi="Times New Roman"/>
        </w:rPr>
        <w:instrText xml:space="preserve"> ADDIN ZOTERO_ITEM CSL_CITATION {"citationID":"4yRMEswN","properties":{"formattedCitation":"[1]","plainCitation":"[1]","noteIndex":0},"citationItems":[{"id":616,"uris":["http://zotero.org/users/7705326/items/4YUQLR4B"],"uri":["http://zotero.org/users/7705326/items/4YUQLR4B"],"itemData":{"id":616,"type":"article-journal","abstract":"This paper presents and discusses the recent developments on the Fast-Response Aerodynamic Pressure Probe (FRAPP) technology at the Laboratorio di Fluidodinamica delle Macchine (LFM) of the Politecnico di Milano. First, the diﬀerent geometries developed and tested at LFM are presented and critically discussed: the paper refers to single-sensor or two-sensor probes applied as virtual 2D or 3D probes for phase-resolved measurements. The static calibration of the sensors inserted inside the head of the probes is discussed, also taking into account for the temperature ﬁeld of application: in this context, a novel calibration procedure is discussed and the new manufacturing process is presented. The dynamic calibration is reconsidered in view of the 15-years’ experience, including the extension to probes operating at diﬀerent temperature and pressure levels with respect to calibration. As for the probe aerodynamics, the calibration coeﬃcients are discussed and the most reliable set here is evidenced. A novel procedure for the quantiﬁcation of the measurement uncertainty, recently developed and based on the Montecarlo methodology, is introduced and discussed in the paper.","container-title":"International Journal of Turbomachinery, Propulsion and Power","DOI":"10.3390/ijtpp5020006","ISSN":"2504-186X","issue":"2","journalAbbreviation":"IJTPP","language":"en","page":"6","source":"DOI.org (Crossref)","title":"Technology Development of Fast-Response Aerodynamic Pressure Probes","volume":"5","author":[{"family":"Gaetani","given":"Paolo"},{"family":"Persico","given":"Giacomo"}],"issued":{"date-parts":[["2020",4,12]]}}}],"schema":"https://github.com/citation-style-language/schema/raw/master/csl-citation.json"} </w:instrText>
      </w:r>
      <w:r>
        <w:rPr>
          <w:rFonts w:ascii="Times New Roman" w:hAnsi="Times New Roman"/>
        </w:rPr>
        <w:fldChar w:fldCharType="separate"/>
      </w:r>
      <w:r w:rsidRPr="002D37F6">
        <w:rPr>
          <w:rFonts w:ascii="Times New Roman" w:hAnsi="Times New Roman"/>
        </w:rPr>
        <w:t>[1]</w:t>
      </w:r>
      <w:r>
        <w:rPr>
          <w:rFonts w:ascii="Times New Roman" w:hAnsi="Times New Roman"/>
        </w:rPr>
        <w:fldChar w:fldCharType="end"/>
      </w:r>
      <w:r w:rsidRPr="002D37F6">
        <w:rPr>
          <w:rFonts w:ascii="Times New Roman" w:hAnsi="Times New Roman"/>
        </w:rPr>
        <w:t xml:space="preserve"> showed variation of their calibration coefficients for the same value of yaw angle for different Mach numbers. </w:t>
      </w:r>
      <w:proofErr w:type="spellStart"/>
      <w:r w:rsidRPr="002D37F6">
        <w:rPr>
          <w:rFonts w:ascii="Times New Roman" w:hAnsi="Times New Roman"/>
        </w:rPr>
        <w:t>Smout</w:t>
      </w:r>
      <w:proofErr w:type="spellEnd"/>
      <w:r w:rsidRPr="002D37F6">
        <w:rPr>
          <w:rFonts w:ascii="Times New Roman" w:hAnsi="Times New Roman"/>
        </w:rPr>
        <w:t xml:space="preserve"> and Ivey </w:t>
      </w:r>
      <w:r w:rsidRPr="002D37F6">
        <w:rPr>
          <w:rFonts w:ascii="Times New Roman" w:hAnsi="Times New Roman"/>
        </w:rPr>
        <w:fldChar w:fldCharType="begin"/>
      </w:r>
      <w:r>
        <w:rPr>
          <w:rFonts w:ascii="Times New Roman" w:hAnsi="Times New Roman"/>
        </w:rPr>
        <w:instrText xml:space="preserve"> ADDIN ZOTERO_ITEM CSL_CITATION {"citationID":"pL68pogB","properties":{"formattedCitation":"[2], [3]","plainCitation":"[2], [3]","noteIndex":0},"citationItems":[{"id":444,"uris":["http://zotero.org/users/7705326/items/6LHQYAK7"],"uri":["http://zotero.org/users/7705326/items/6LHQYAK7"],"itemData":{"id":444,"type":"article-journal","container-title":"Journal of Engineering for Gas Turbines and Power","issue":"3","title":"Investigation of Wedge Probe Wall Proximity Effects: Part 1—Experimental Study","volume":"119","author":[{"family":"Smout","given":"P. D."},{"family":"Ivey","given":"P. C."}]}},{"id":442,"uris":["http://zotero.org/users/7705326/items/3GBPMZDH"],"uri":["http://zotero.org/users/7705326/items/3GBPMZDH"],"itemData":{"id":442,"type":"article-journal","abstract":"An experimental study of wedge probe wall proximity effects is described in Part 1 of this paper. Actual size and large-scale model probes were tested to understand the mechanisms responsible for this effect, by which free-stream pressure near the outer wall of a turbomachine may be overindicated by up to 20 percent dynamic head. CFD calculations of the flow over two-dimensional wedge shapes and a three-dimensional wedge probe were made in support of the experiments, and are reported in this paper. Key flow structures in the probe wake were identified that control the pressures indicated by the probe in a given environment. It is shown that probe aerodynamic characteristics will change if the wake flow structures are modified, for example by traversing close to the wall, or by calibrating the probe in an open jet rather than in a closed section wind tunnel. A simple analytical model of the probe local flows was derived from the CFD results. It is shown by comparison with experiment that this model captures the dominant flow features.","container-title":"Journal of Engineering for Gas Turbines and Power","DOI":"10.1115/1.2817027","ISSN":"0742-4795, 1528-8919","issue":"3","language":"en","page":"605-611","source":"DOI.org (Crossref)","title":"Investigation of Wedge Probe Wall Proximity Effects: Part 2—Numerical and Analytical Modeling","title-short":"Investigation of Wedge Probe Wall Proximity Effects","volume":"119","author":[{"family":"Smout","given":"P. D."},{"family":"Ivey","given":"P. C."}],"issued":{"date-parts":[["1997",7,1]]}}}],"schema":"https://github.com/citation-style-language/schema/raw/master/csl-citation.json"} </w:instrText>
      </w:r>
      <w:r w:rsidRPr="002D37F6">
        <w:rPr>
          <w:rFonts w:ascii="Times New Roman" w:hAnsi="Times New Roman"/>
        </w:rPr>
        <w:fldChar w:fldCharType="separate"/>
      </w:r>
      <w:r w:rsidRPr="002D37F6">
        <w:rPr>
          <w:rFonts w:ascii="Times New Roman" w:hAnsi="Times New Roman"/>
        </w:rPr>
        <w:t>[2], [3]</w:t>
      </w:r>
      <w:r w:rsidRPr="002D37F6">
        <w:rPr>
          <w:rFonts w:ascii="Times New Roman" w:hAnsi="Times New Roman"/>
        </w:rPr>
        <w:fldChar w:fldCharType="end"/>
      </w:r>
      <w:r w:rsidRPr="002D37F6">
        <w:rPr>
          <w:rFonts w:ascii="Times New Roman" w:hAnsi="Times New Roman"/>
        </w:rPr>
        <w:t xml:space="preserve">  showed that the proximity to a wall changed the flow field around a probe and this effect needs to be considered during calibration. The implication of this is that probes must be calibrated in the same duct and at the same operating condition that they will see during a test. This is not always feasible; hence corrections are required for the measured data. Numerical simulations allow us to replicate flow behavior in the experimental test section. In this </w:t>
      </w:r>
      <w:r>
        <w:rPr>
          <w:rFonts w:ascii="Times New Roman" w:hAnsi="Times New Roman"/>
        </w:rPr>
        <w:t>manuscript</w:t>
      </w:r>
      <w:r w:rsidRPr="002D37F6">
        <w:rPr>
          <w:rFonts w:ascii="Times New Roman" w:hAnsi="Times New Roman"/>
        </w:rPr>
        <w:t xml:space="preserve"> a method to leverage numerical data into a simple model for correction of these effects is presented. </w:t>
      </w:r>
    </w:p>
    <w:p w14:paraId="4ACF6B0E" w14:textId="77777777" w:rsidR="007D469E" w:rsidRDefault="007D469E" w:rsidP="007D469E">
      <w:pPr>
        <w:pStyle w:val="NomenclatureClauseTitle"/>
      </w:pPr>
      <w:r>
        <w:t>RESULTS and DISCUSSION</w:t>
      </w:r>
    </w:p>
    <w:p w14:paraId="5E1B31C9" w14:textId="376264EB" w:rsidR="002D37F6" w:rsidRDefault="002D37F6" w:rsidP="002D37F6">
      <w:pPr>
        <w:ind w:firstLine="720"/>
        <w:jc w:val="both"/>
        <w:rPr>
          <w:rFonts w:ascii="Times New Roman" w:hAnsi="Times New Roman"/>
        </w:rPr>
      </w:pPr>
      <w:r w:rsidRPr="002D37F6">
        <w:rPr>
          <w:rFonts w:ascii="Times New Roman" w:hAnsi="Times New Roman"/>
        </w:rPr>
        <w:t xml:space="preserve">To better understand the effect Mach number and the proximity of the probe to the </w:t>
      </w:r>
      <w:proofErr w:type="spellStart"/>
      <w:r w:rsidRPr="002D37F6">
        <w:rPr>
          <w:rFonts w:ascii="Times New Roman" w:hAnsi="Times New Roman"/>
        </w:rPr>
        <w:t>endwalls</w:t>
      </w:r>
      <w:proofErr w:type="spellEnd"/>
      <w:r w:rsidRPr="002D37F6">
        <w:rPr>
          <w:rFonts w:ascii="Times New Roman" w:hAnsi="Times New Roman"/>
        </w:rPr>
        <w:t xml:space="preserve">, a numerical analysis was carried out for the directional probe at two different Mach numbers, 7 yaw angles and two different radial locations. </w:t>
      </w:r>
      <w:r>
        <w:rPr>
          <w:rFonts w:ascii="Times New Roman" w:hAnsi="Times New Roman"/>
        </w:rPr>
        <w:t xml:space="preserve">Figure 1 </w:t>
      </w:r>
      <w:r w:rsidRPr="002D37F6">
        <w:rPr>
          <w:rFonts w:ascii="Times New Roman" w:hAnsi="Times New Roman"/>
        </w:rPr>
        <w:t xml:space="preserve">shows the coefficient value of </w:t>
      </w:r>
      <w:proofErr w:type="spellStart"/>
      <w:r w:rsidRPr="002D37F6">
        <w:rPr>
          <w:rFonts w:ascii="Times New Roman" w:hAnsi="Times New Roman"/>
        </w:rPr>
        <w:t>C</w:t>
      </w:r>
      <w:r w:rsidRPr="002D37F6">
        <w:rPr>
          <w:rFonts w:ascii="Times New Roman" w:hAnsi="Times New Roman"/>
          <w:vertAlign w:val="subscript"/>
        </w:rPr>
        <w:t>pv</w:t>
      </w:r>
      <w:proofErr w:type="spellEnd"/>
      <w:r w:rsidRPr="002D37F6">
        <w:rPr>
          <w:rFonts w:ascii="Times New Roman" w:hAnsi="Times New Roman"/>
        </w:rPr>
        <w:t xml:space="preserve">, computed as Equation </w:t>
      </w:r>
      <w:r w:rsidRPr="002D37F6">
        <w:rPr>
          <w:rFonts w:ascii="Times New Roman" w:hAnsi="Times New Roman"/>
        </w:rPr>
        <w:fldChar w:fldCharType="begin"/>
      </w:r>
      <w:r w:rsidRPr="002D37F6">
        <w:rPr>
          <w:rFonts w:ascii="Times New Roman" w:hAnsi="Times New Roman"/>
        </w:rPr>
        <w:instrText xml:space="preserve"> REF _Ref103721788 \h </w:instrText>
      </w:r>
      <w:r>
        <w:rPr>
          <w:rFonts w:ascii="Times New Roman" w:hAnsi="Times New Roman"/>
        </w:rPr>
        <w:instrText xml:space="preserve"> \* MERGEFORMAT </w:instrText>
      </w:r>
      <w:r w:rsidRPr="002D37F6">
        <w:rPr>
          <w:rFonts w:ascii="Times New Roman" w:hAnsi="Times New Roman"/>
        </w:rPr>
      </w:r>
      <w:r w:rsidRPr="002D37F6">
        <w:rPr>
          <w:rFonts w:ascii="Times New Roman" w:hAnsi="Times New Roman"/>
        </w:rPr>
        <w:fldChar w:fldCharType="separate"/>
      </w:r>
      <w:r w:rsidRPr="002D37F6">
        <w:rPr>
          <w:rFonts w:ascii="Times New Roman" w:hAnsi="Times New Roman"/>
          <w:lang w:val="en-IN"/>
        </w:rPr>
        <w:t>(</w:t>
      </w:r>
      <w:r w:rsidRPr="002D37F6">
        <w:rPr>
          <w:rFonts w:ascii="Times New Roman" w:hAnsi="Times New Roman"/>
          <w:noProof/>
          <w:lang w:val="en-IN"/>
        </w:rPr>
        <w:t>1</w:t>
      </w:r>
      <w:r w:rsidRPr="002D37F6">
        <w:rPr>
          <w:rFonts w:ascii="Times New Roman" w:hAnsi="Times New Roman"/>
          <w:lang w:val="en-IN"/>
        </w:rPr>
        <w:t>)</w:t>
      </w:r>
      <w:r w:rsidRPr="002D37F6">
        <w:rPr>
          <w:rFonts w:ascii="Times New Roman" w:hAnsi="Times New Roman"/>
        </w:rPr>
        <w:fldChar w:fldCharType="end"/>
      </w:r>
      <w:r w:rsidRPr="002D37F6">
        <w:rPr>
          <w:rFonts w:ascii="Times New Roman" w:hAnsi="Times New Roman"/>
        </w:rPr>
        <w:t xml:space="preserve">, for different value of yaw angle. The values are compared between two Mach numbers and with two different radial locations. It is seen that the </w:t>
      </w:r>
      <w:proofErr w:type="spellStart"/>
      <w:r w:rsidRPr="002D37F6">
        <w:rPr>
          <w:rFonts w:ascii="Times New Roman" w:hAnsi="Times New Roman"/>
        </w:rPr>
        <w:t>C</w:t>
      </w:r>
      <w:r w:rsidRPr="002D37F6">
        <w:rPr>
          <w:rFonts w:ascii="Times New Roman" w:hAnsi="Times New Roman"/>
          <w:vertAlign w:val="subscript"/>
        </w:rPr>
        <w:t>pv</w:t>
      </w:r>
      <w:proofErr w:type="spellEnd"/>
      <w:r w:rsidRPr="002D37F6">
        <w:rPr>
          <w:rFonts w:ascii="Times New Roman" w:hAnsi="Times New Roman"/>
        </w:rPr>
        <w:t xml:space="preserve"> values are smaller for higher Mach number. This is due to the additional energy of the flow and its ability to follow greater change in curvature, hence the change in pressure is lower between the yaw holes.</w:t>
      </w:r>
      <w:r w:rsidR="00E16DC9">
        <w:rPr>
          <w:rFonts w:ascii="Times New Roman" w:hAnsi="Times New Roman"/>
        </w:rPr>
        <w:t xml:space="preserve"> This variation in the coefficient value at different conditions incur errors in the angle calculation during a test. These numerical results are used to build a model for correction using Gaussian regression. This model is then used to correct for Mach number effect using calibration data at two different Mach numbers. </w:t>
      </w:r>
    </w:p>
    <w:p w14:paraId="357C887C" w14:textId="77777777" w:rsidR="002D37F6" w:rsidRDefault="002D37F6" w:rsidP="002D37F6">
      <w:pPr>
        <w:ind w:firstLine="720"/>
        <w:jc w:val="both"/>
        <w:rPr>
          <w:rFonts w:ascii="Times New Roman" w:hAnsi="Times New Roman"/>
        </w:rPr>
      </w:pPr>
    </w:p>
    <w:tbl>
      <w:tblPr>
        <w:tblW w:w="9931" w:type="dxa"/>
        <w:tblInd w:w="-5" w:type="dxa"/>
        <w:tblLook w:val="04A0" w:firstRow="1" w:lastRow="0" w:firstColumn="1" w:lastColumn="0" w:noHBand="0" w:noVBand="1"/>
      </w:tblPr>
      <w:tblGrid>
        <w:gridCol w:w="345"/>
        <w:gridCol w:w="8444"/>
        <w:gridCol w:w="571"/>
        <w:gridCol w:w="571"/>
      </w:tblGrid>
      <w:tr w:rsidR="002D37F6" w14:paraId="4FE5F4F3" w14:textId="77777777" w:rsidTr="002D37F6">
        <w:tc>
          <w:tcPr>
            <w:tcW w:w="345" w:type="dxa"/>
            <w:vAlign w:val="center"/>
          </w:tcPr>
          <w:p w14:paraId="7A808BB2" w14:textId="77777777" w:rsidR="002D37F6" w:rsidRDefault="002D37F6" w:rsidP="00C50DB9">
            <w:pPr>
              <w:jc w:val="center"/>
              <w:rPr>
                <w:lang w:val="en-IN"/>
              </w:rPr>
            </w:pPr>
          </w:p>
        </w:tc>
        <w:tc>
          <w:tcPr>
            <w:tcW w:w="8444" w:type="dxa"/>
            <w:vAlign w:val="center"/>
          </w:tcPr>
          <w:p w14:paraId="307C2307" w14:textId="77777777" w:rsidR="002D37F6" w:rsidRPr="00A82721" w:rsidRDefault="00427551" w:rsidP="00C50DB9">
            <w:pPr>
              <w:jc w:val="center"/>
              <w:rPr>
                <w:sz w:val="22"/>
                <w:szCs w:val="22"/>
                <w:lang w:val="en-IN"/>
              </w:rPr>
            </w:pPr>
            <m:oMathPara>
              <m:oMath>
                <m:sSub>
                  <m:sSubPr>
                    <m:ctrlPr>
                      <w:rPr>
                        <w:rFonts w:ascii="Cambria Math" w:hAnsi="Cambria Math"/>
                        <w:sz w:val="26"/>
                        <w:szCs w:val="26"/>
                      </w:rPr>
                    </m:ctrlPr>
                  </m:sSubPr>
                  <m:e>
                    <m:r>
                      <w:rPr>
                        <w:rFonts w:ascii="Cambria Math" w:hAnsi="Cambria Math"/>
                        <w:sz w:val="26"/>
                        <w:szCs w:val="26"/>
                      </w:rPr>
                      <m:t>Cp</m:t>
                    </m:r>
                  </m:e>
                  <m:sub>
                    <m:r>
                      <w:rPr>
                        <w:rFonts w:ascii="Cambria Math" w:hAnsi="Cambria Math"/>
                        <w:sz w:val="26"/>
                        <w:szCs w:val="26"/>
                      </w:rPr>
                      <m:t>v</m:t>
                    </m:r>
                  </m:sub>
                </m:sSub>
                <m:r>
                  <w:rPr>
                    <w:rFonts w:ascii="Cambria Math" w:hAnsi="Cambria Math"/>
                    <w:sz w:val="26"/>
                    <w:szCs w:val="26"/>
                  </w:rPr>
                  <m:t>=</m:t>
                </m:r>
                <m:f>
                  <m:fPr>
                    <m:ctrlPr>
                      <w:rPr>
                        <w:rFonts w:ascii="Cambria Math" w:hAnsi="Cambria Math"/>
                        <w:sz w:val="26"/>
                        <w:szCs w:val="26"/>
                      </w:rPr>
                    </m:ctrlPr>
                  </m:fPr>
                  <m:num>
                    <m:sSub>
                      <m:sSubPr>
                        <m:ctrlPr>
                          <w:rPr>
                            <w:rFonts w:ascii="Cambria Math" w:hAnsi="Cambria Math"/>
                            <w:sz w:val="26"/>
                            <w:szCs w:val="26"/>
                          </w:rPr>
                        </m:ctrlPr>
                      </m:sSubPr>
                      <m:e>
                        <m:r>
                          <w:rPr>
                            <w:rFonts w:ascii="Cambria Math" w:hAnsi="Cambria Math"/>
                            <w:sz w:val="26"/>
                            <w:szCs w:val="26"/>
                          </w:rPr>
                          <m:t>P</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P</m:t>
                        </m:r>
                      </m:e>
                      <m:sub>
                        <m:r>
                          <w:rPr>
                            <w:rFonts w:ascii="Cambria Math" w:hAnsi="Cambria Math"/>
                            <w:sz w:val="26"/>
                            <w:szCs w:val="26"/>
                          </w:rPr>
                          <m:t>4</m:t>
                        </m:r>
                      </m:sub>
                    </m:sSub>
                  </m:num>
                  <m:den>
                    <m:sSub>
                      <m:sSubPr>
                        <m:ctrlPr>
                          <w:rPr>
                            <w:rFonts w:ascii="Cambria Math" w:hAnsi="Cambria Math"/>
                            <w:sz w:val="26"/>
                            <w:szCs w:val="26"/>
                          </w:rPr>
                        </m:ctrlPr>
                      </m:sSubPr>
                      <m:e>
                        <m:r>
                          <w:rPr>
                            <w:rFonts w:ascii="Cambria Math" w:hAnsi="Cambria Math"/>
                            <w:sz w:val="26"/>
                            <w:szCs w:val="26"/>
                          </w:rPr>
                          <m:t>P</m:t>
                        </m:r>
                      </m:e>
                      <m:sub>
                        <m:r>
                          <w:rPr>
                            <w:rFonts w:ascii="Cambria Math" w:hAnsi="Cambria Math"/>
                            <w:sz w:val="26"/>
                            <w:szCs w:val="26"/>
                          </w:rPr>
                          <m:t>5</m:t>
                        </m:r>
                      </m:sub>
                    </m:sSub>
                    <m: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P</m:t>
                        </m:r>
                      </m:e>
                      <m:sub>
                        <m:r>
                          <w:rPr>
                            <w:rFonts w:ascii="Cambria Math" w:hAnsi="Cambria Math"/>
                            <w:sz w:val="26"/>
                            <w:szCs w:val="26"/>
                          </w:rPr>
                          <m:t>avg</m:t>
                        </m:r>
                      </m:sub>
                    </m:sSub>
                  </m:den>
                </m:f>
              </m:oMath>
            </m:oMathPara>
          </w:p>
        </w:tc>
        <w:tc>
          <w:tcPr>
            <w:tcW w:w="571" w:type="dxa"/>
          </w:tcPr>
          <w:p w14:paraId="382408E9" w14:textId="77777777" w:rsidR="002D37F6" w:rsidRDefault="002D37F6" w:rsidP="00C50DB9">
            <w:pPr>
              <w:jc w:val="center"/>
              <w:rPr>
                <w:lang w:val="en-IN"/>
              </w:rPr>
            </w:pPr>
          </w:p>
        </w:tc>
        <w:tc>
          <w:tcPr>
            <w:tcW w:w="571" w:type="dxa"/>
            <w:vAlign w:val="center"/>
          </w:tcPr>
          <w:p w14:paraId="255884A8" w14:textId="7A88631E" w:rsidR="002D37F6" w:rsidRDefault="002D37F6" w:rsidP="00C50DB9">
            <w:pPr>
              <w:jc w:val="center"/>
              <w:rPr>
                <w:lang w:val="en-IN"/>
              </w:rPr>
            </w:pPr>
            <w:bookmarkStart w:id="1" w:name="_Ref103721788"/>
            <w:r>
              <w:rPr>
                <w:lang w:val="en-IN"/>
              </w:rPr>
              <w:t>(</w:t>
            </w:r>
            <w:r w:rsidRPr="00A62567">
              <w:rPr>
                <w:rFonts w:ascii="Cambria Math" w:hAnsi="Cambria Math"/>
                <w:lang w:val="en-IN"/>
              </w:rPr>
              <w:fldChar w:fldCharType="begin"/>
            </w:r>
            <w:r w:rsidRPr="00A62567">
              <w:rPr>
                <w:rFonts w:ascii="Cambria Math" w:hAnsi="Cambria Math"/>
                <w:lang w:val="en-IN"/>
              </w:rPr>
              <w:instrText xml:space="preserve"> SEQ ( \* ARABIC </w:instrText>
            </w:r>
            <w:r w:rsidRPr="00A62567">
              <w:rPr>
                <w:rFonts w:ascii="Cambria Math" w:hAnsi="Cambria Math"/>
                <w:lang w:val="en-IN"/>
              </w:rPr>
              <w:fldChar w:fldCharType="separate"/>
            </w:r>
            <w:r>
              <w:rPr>
                <w:rFonts w:ascii="Cambria Math" w:hAnsi="Cambria Math"/>
                <w:noProof/>
                <w:lang w:val="en-IN"/>
              </w:rPr>
              <w:t>1</w:t>
            </w:r>
            <w:r w:rsidRPr="00A62567">
              <w:rPr>
                <w:rFonts w:ascii="Cambria Math" w:hAnsi="Cambria Math"/>
                <w:lang w:val="en-IN"/>
              </w:rPr>
              <w:fldChar w:fldCharType="end"/>
            </w:r>
            <w:r>
              <w:rPr>
                <w:lang w:val="en-IN"/>
              </w:rPr>
              <w:t>)</w:t>
            </w:r>
            <w:bookmarkEnd w:id="1"/>
          </w:p>
        </w:tc>
      </w:tr>
    </w:tbl>
    <w:p w14:paraId="2426AB26" w14:textId="77777777" w:rsidR="002D37F6" w:rsidRPr="002D37F6" w:rsidRDefault="002D37F6" w:rsidP="002D37F6">
      <w:pPr>
        <w:ind w:firstLine="720"/>
        <w:jc w:val="both"/>
        <w:rPr>
          <w:rFonts w:ascii="Times New Roman" w:hAnsi="Times New Roman"/>
        </w:rPr>
      </w:pPr>
    </w:p>
    <w:p w14:paraId="5BF56C33" w14:textId="77777777" w:rsidR="007D469E" w:rsidRDefault="007D469E">
      <w:pPr>
        <w:pStyle w:val="BodyText2"/>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BodyText2"/>
              <w:ind w:firstLine="0"/>
              <w:jc w:val="center"/>
            </w:pPr>
          </w:p>
          <w:p w14:paraId="77661A85" w14:textId="77777777" w:rsidR="007D469E" w:rsidRDefault="007D469E" w:rsidP="007D469E">
            <w:pPr>
              <w:pStyle w:val="BodyText2"/>
              <w:ind w:firstLine="0"/>
              <w:jc w:val="center"/>
            </w:pPr>
          </w:p>
          <w:p w14:paraId="23146039" w14:textId="77777777" w:rsidR="007D469E" w:rsidRDefault="007D469E" w:rsidP="007D469E">
            <w:pPr>
              <w:pStyle w:val="BodyText2"/>
              <w:ind w:firstLine="0"/>
              <w:jc w:val="center"/>
            </w:pPr>
          </w:p>
          <w:p w14:paraId="5FBC2094" w14:textId="77777777" w:rsidR="007D469E" w:rsidRDefault="007D469E" w:rsidP="007D469E">
            <w:pPr>
              <w:pStyle w:val="BodyText2"/>
              <w:ind w:firstLine="0"/>
              <w:jc w:val="center"/>
            </w:pPr>
          </w:p>
          <w:p w14:paraId="4F3ABE9B" w14:textId="77777777" w:rsidR="007D469E" w:rsidRDefault="007D469E" w:rsidP="007D469E">
            <w:pPr>
              <w:pStyle w:val="BodyText2"/>
              <w:ind w:firstLine="0"/>
              <w:jc w:val="center"/>
            </w:pPr>
          </w:p>
          <w:p w14:paraId="62BB2FC7" w14:textId="7B067D22" w:rsidR="007D469E" w:rsidRDefault="002D37F6" w:rsidP="002D37F6">
            <w:pPr>
              <w:pStyle w:val="BodyText2"/>
              <w:ind w:firstLine="0"/>
              <w:jc w:val="center"/>
            </w:pPr>
            <w:r>
              <w:rPr>
                <w:noProof/>
              </w:rPr>
              <w:drawing>
                <wp:inline distT="0" distB="0" distL="0" distR="0" wp14:anchorId="42FB82C1" wp14:editId="45D3F443">
                  <wp:extent cx="5858980" cy="3875314"/>
                  <wp:effectExtent l="0" t="0" r="889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cpv_variation.png"/>
                          <pic:cNvPicPr/>
                        </pic:nvPicPr>
                        <pic:blipFill>
                          <a:blip r:embed="rId11">
                            <a:extLst>
                              <a:ext uri="{28A0092B-C50C-407E-A947-70E740481C1C}">
                                <a14:useLocalDpi xmlns:a14="http://schemas.microsoft.com/office/drawing/2010/main" val="0"/>
                              </a:ext>
                            </a:extLst>
                          </a:blip>
                          <a:stretch>
                            <a:fillRect/>
                          </a:stretch>
                        </pic:blipFill>
                        <pic:spPr>
                          <a:xfrm>
                            <a:off x="0" y="0"/>
                            <a:ext cx="5870591" cy="3882994"/>
                          </a:xfrm>
                          <a:prstGeom prst="rect">
                            <a:avLst/>
                          </a:prstGeom>
                        </pic:spPr>
                      </pic:pic>
                    </a:graphicData>
                  </a:graphic>
                </wp:inline>
              </w:drawing>
            </w:r>
          </w:p>
          <w:p w14:paraId="4224C5CD" w14:textId="77777777" w:rsidR="007D469E" w:rsidRDefault="007D469E" w:rsidP="007D469E">
            <w:pPr>
              <w:pStyle w:val="BodyText2"/>
              <w:ind w:firstLine="0"/>
              <w:jc w:val="center"/>
            </w:pPr>
          </w:p>
          <w:p w14:paraId="17C52184" w14:textId="77777777" w:rsidR="007D469E" w:rsidRDefault="007D469E" w:rsidP="007D469E">
            <w:pPr>
              <w:pStyle w:val="BodyText2"/>
              <w:ind w:firstLine="0"/>
              <w:jc w:val="center"/>
            </w:pPr>
          </w:p>
        </w:tc>
      </w:tr>
      <w:tr w:rsidR="007D469E" w:rsidRPr="002D37F6" w14:paraId="5C65E74C" w14:textId="77777777" w:rsidTr="007D469E">
        <w:trPr>
          <w:jc w:val="center"/>
        </w:trPr>
        <w:tc>
          <w:tcPr>
            <w:tcW w:w="9245" w:type="dxa"/>
            <w:shd w:val="clear" w:color="auto" w:fill="auto"/>
          </w:tcPr>
          <w:p w14:paraId="1CC56950" w14:textId="3CE31335" w:rsidR="007D469E" w:rsidRPr="002D37F6" w:rsidRDefault="007D469E" w:rsidP="007D469E">
            <w:pPr>
              <w:pStyle w:val="BodyText2"/>
              <w:ind w:firstLine="0"/>
              <w:jc w:val="center"/>
              <w:rPr>
                <w:b/>
              </w:rPr>
            </w:pPr>
            <w:r w:rsidRPr="002D37F6">
              <w:rPr>
                <w:b/>
              </w:rPr>
              <w:lastRenderedPageBreak/>
              <w:t xml:space="preserve">Figure 1. </w:t>
            </w:r>
            <w:r w:rsidR="002D37F6" w:rsidRPr="002D37F6">
              <w:rPr>
                <w:b/>
              </w:rPr>
              <w:t xml:space="preserve">(left), </w:t>
            </w:r>
            <w:proofErr w:type="spellStart"/>
            <w:r w:rsidR="002D37F6" w:rsidRPr="002D37F6">
              <w:rPr>
                <w:b/>
              </w:rPr>
              <w:t>C</w:t>
            </w:r>
            <w:r w:rsidR="002D37F6" w:rsidRPr="002D37F6">
              <w:rPr>
                <w:b/>
                <w:vertAlign w:val="subscript"/>
              </w:rPr>
              <w:t>pv</w:t>
            </w:r>
            <w:proofErr w:type="spellEnd"/>
            <w:r w:rsidR="002D37F6" w:rsidRPr="002D37F6">
              <w:rPr>
                <w:b/>
              </w:rPr>
              <w:t xml:space="preserve"> coefficient for l/d=1.65 at four operational conditions, (right), </w:t>
            </w:r>
            <w:proofErr w:type="spellStart"/>
            <w:r w:rsidR="002D37F6" w:rsidRPr="002D37F6">
              <w:rPr>
                <w:b/>
              </w:rPr>
              <w:t>C</w:t>
            </w:r>
            <w:r w:rsidR="002D37F6" w:rsidRPr="002D37F6">
              <w:rPr>
                <w:b/>
                <w:vertAlign w:val="subscript"/>
              </w:rPr>
              <w:t>pv</w:t>
            </w:r>
            <w:proofErr w:type="spellEnd"/>
            <w:r w:rsidR="002D37F6" w:rsidRPr="002D37F6">
              <w:rPr>
                <w:b/>
              </w:rPr>
              <w:t xml:space="preserve"> coefficient for l/d=10.</w:t>
            </w:r>
          </w:p>
        </w:tc>
      </w:tr>
    </w:tbl>
    <w:p w14:paraId="4C672DA8" w14:textId="77777777" w:rsidR="007D469E" w:rsidRDefault="007D469E">
      <w:pPr>
        <w:pStyle w:val="BodyText2"/>
      </w:pPr>
    </w:p>
    <w:p w14:paraId="2D4F5C80" w14:textId="77777777" w:rsidR="007D469E" w:rsidRDefault="007D469E">
      <w:pPr>
        <w:pStyle w:val="BodyText2"/>
      </w:pPr>
    </w:p>
    <w:p w14:paraId="589C6581" w14:textId="2B7CCEEE" w:rsidR="007D469E" w:rsidRDefault="007D469E">
      <w:pPr>
        <w:pStyle w:val="ReferencesClauseTitle"/>
      </w:pPr>
      <w:r>
        <w:t>References</w:t>
      </w:r>
    </w:p>
    <w:p w14:paraId="3A4116B3" w14:textId="77777777" w:rsidR="002D37F6" w:rsidRPr="002D37F6" w:rsidRDefault="002D37F6" w:rsidP="002D37F6">
      <w:pPr>
        <w:pStyle w:val="Bibliography"/>
        <w:rPr>
          <w:rFonts w:ascii="Times New Roman" w:hAnsi="Times New Roman"/>
        </w:rPr>
      </w:pPr>
      <w:r>
        <w:fldChar w:fldCharType="begin"/>
      </w:r>
      <w:r>
        <w:instrText xml:space="preserve"> ADDIN ZOTERO_BIBL {"uncited":[],"omitted":[],"custom":[]} CSL_BIBLIOGRAPHY </w:instrText>
      </w:r>
      <w:r>
        <w:fldChar w:fldCharType="separate"/>
      </w:r>
      <w:r w:rsidRPr="002D37F6">
        <w:rPr>
          <w:rFonts w:ascii="Times New Roman" w:hAnsi="Times New Roman"/>
        </w:rPr>
        <w:t>[1]</w:t>
      </w:r>
      <w:r w:rsidRPr="002D37F6">
        <w:rPr>
          <w:rFonts w:ascii="Times New Roman" w:hAnsi="Times New Roman"/>
        </w:rPr>
        <w:tab/>
        <w:t xml:space="preserve">P. Gaetani and G. Persico, “Technology Development of Fast-Response Aerodynamic Pressure Probes,” </w:t>
      </w:r>
      <w:r w:rsidRPr="002D37F6">
        <w:rPr>
          <w:rFonts w:ascii="Times New Roman" w:hAnsi="Times New Roman"/>
          <w:i/>
          <w:iCs/>
        </w:rPr>
        <w:t>IJTPP</w:t>
      </w:r>
      <w:r w:rsidRPr="002D37F6">
        <w:rPr>
          <w:rFonts w:ascii="Times New Roman" w:hAnsi="Times New Roman"/>
        </w:rPr>
        <w:t>, vol. 5, no. 2, p. 6, Apr. 2020, doi: 10.3390/ijtpp5020006.</w:t>
      </w:r>
    </w:p>
    <w:p w14:paraId="6E109835" w14:textId="77777777" w:rsidR="002D37F6" w:rsidRPr="002D37F6" w:rsidRDefault="002D37F6" w:rsidP="002D37F6">
      <w:pPr>
        <w:pStyle w:val="Bibliography"/>
        <w:rPr>
          <w:rFonts w:ascii="Times New Roman" w:hAnsi="Times New Roman"/>
        </w:rPr>
      </w:pPr>
      <w:r w:rsidRPr="002D37F6">
        <w:rPr>
          <w:rFonts w:ascii="Times New Roman" w:hAnsi="Times New Roman"/>
        </w:rPr>
        <w:t>[2]</w:t>
      </w:r>
      <w:r w:rsidRPr="002D37F6">
        <w:rPr>
          <w:rFonts w:ascii="Times New Roman" w:hAnsi="Times New Roman"/>
        </w:rPr>
        <w:tab/>
        <w:t xml:space="preserve">P. D. Smout and P. C. Ivey, “Investigation of Wedge Probe Wall Proximity Effects: Part 1—Experimental Study,” </w:t>
      </w:r>
      <w:r w:rsidRPr="002D37F6">
        <w:rPr>
          <w:rFonts w:ascii="Times New Roman" w:hAnsi="Times New Roman"/>
          <w:i/>
          <w:iCs/>
        </w:rPr>
        <w:t>Journal of Engineering for Gas Turbines and Power</w:t>
      </w:r>
      <w:r w:rsidRPr="002D37F6">
        <w:rPr>
          <w:rFonts w:ascii="Times New Roman" w:hAnsi="Times New Roman"/>
        </w:rPr>
        <w:t>, vol. 119, no. 3.</w:t>
      </w:r>
    </w:p>
    <w:p w14:paraId="0DAC1887" w14:textId="77777777" w:rsidR="002D37F6" w:rsidRPr="002D37F6" w:rsidRDefault="002D37F6" w:rsidP="002D37F6">
      <w:pPr>
        <w:pStyle w:val="Bibliography"/>
        <w:rPr>
          <w:rFonts w:ascii="Times New Roman" w:hAnsi="Times New Roman"/>
        </w:rPr>
      </w:pPr>
      <w:r w:rsidRPr="002D37F6">
        <w:rPr>
          <w:rFonts w:ascii="Times New Roman" w:hAnsi="Times New Roman"/>
        </w:rPr>
        <w:t>[3]</w:t>
      </w:r>
      <w:r w:rsidRPr="002D37F6">
        <w:rPr>
          <w:rFonts w:ascii="Times New Roman" w:hAnsi="Times New Roman"/>
        </w:rPr>
        <w:tab/>
        <w:t xml:space="preserve">P. D. Smout and P. C. Ivey, “Investigation of Wedge Probe Wall Proximity Effects: Part 2—Numerical and Analytical Modeling,” </w:t>
      </w:r>
      <w:r w:rsidRPr="002D37F6">
        <w:rPr>
          <w:rFonts w:ascii="Times New Roman" w:hAnsi="Times New Roman"/>
          <w:i/>
          <w:iCs/>
        </w:rPr>
        <w:t>Journal of Engineering for Gas Turbines and Power</w:t>
      </w:r>
      <w:r w:rsidRPr="002D37F6">
        <w:rPr>
          <w:rFonts w:ascii="Times New Roman" w:hAnsi="Times New Roman"/>
        </w:rPr>
        <w:t>, vol. 119, no. 3, pp. 605–611, Jul. 1997, doi: 10.1115/1.2817027.</w:t>
      </w:r>
    </w:p>
    <w:p w14:paraId="6E1B37C1" w14:textId="09C0DF52" w:rsidR="002D37F6" w:rsidRPr="002D37F6" w:rsidRDefault="002D37F6" w:rsidP="002D37F6">
      <w:pPr>
        <w:pStyle w:val="BodyText2"/>
      </w:pPr>
      <w:r>
        <w:fldChar w:fldCharType="end"/>
      </w:r>
    </w:p>
    <w:p w14:paraId="792AA906" w14:textId="5315C972" w:rsidR="007D1A84" w:rsidRDefault="007D1A84" w:rsidP="002D37F6">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987F2" w14:textId="77777777" w:rsidR="00427551" w:rsidRDefault="00427551">
      <w:r>
        <w:separator/>
      </w:r>
    </w:p>
  </w:endnote>
  <w:endnote w:type="continuationSeparator" w:id="0">
    <w:p w14:paraId="27B63865" w14:textId="77777777" w:rsidR="00427551" w:rsidRDefault="0042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6B845" w14:textId="77777777" w:rsidR="00427551" w:rsidRDefault="00427551">
      <w:r>
        <w:separator/>
      </w:r>
    </w:p>
  </w:footnote>
  <w:footnote w:type="continuationSeparator" w:id="0">
    <w:p w14:paraId="3068DF36" w14:textId="77777777" w:rsidR="00427551" w:rsidRDefault="0042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27233E"/>
    <w:rsid w:val="002D37F6"/>
    <w:rsid w:val="00330BF8"/>
    <w:rsid w:val="00333646"/>
    <w:rsid w:val="003A2321"/>
    <w:rsid w:val="003D5D56"/>
    <w:rsid w:val="00404301"/>
    <w:rsid w:val="00427551"/>
    <w:rsid w:val="00562188"/>
    <w:rsid w:val="00570BA1"/>
    <w:rsid w:val="006211FC"/>
    <w:rsid w:val="00670548"/>
    <w:rsid w:val="00791559"/>
    <w:rsid w:val="007A6153"/>
    <w:rsid w:val="007D1A84"/>
    <w:rsid w:val="007D469E"/>
    <w:rsid w:val="008D76C5"/>
    <w:rsid w:val="008F5DA3"/>
    <w:rsid w:val="00903B53"/>
    <w:rsid w:val="00930D6E"/>
    <w:rsid w:val="00931635"/>
    <w:rsid w:val="009F585A"/>
    <w:rsid w:val="00B4010B"/>
    <w:rsid w:val="00B47D74"/>
    <w:rsid w:val="00B962DF"/>
    <w:rsid w:val="00BF32E0"/>
    <w:rsid w:val="00C73411"/>
    <w:rsid w:val="00CF348E"/>
    <w:rsid w:val="00D13B06"/>
    <w:rsid w:val="00D66CB4"/>
    <w:rsid w:val="00D824BE"/>
    <w:rsid w:val="00DD22E9"/>
    <w:rsid w:val="00E16DC9"/>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paragraph" w:styleId="Bibliography">
    <w:name w:val="Bibliography"/>
    <w:basedOn w:val="Normal"/>
    <w:next w:val="Normal"/>
    <w:uiPriority w:val="37"/>
    <w:unhideWhenUsed/>
    <w:rsid w:val="002D37F6"/>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4429-2AF5-43DD-87C1-A84FE88F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1355</Words>
  <Characters>7725</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Lakshya Bhatnagar</cp:lastModifiedBy>
  <cp:revision>3</cp:revision>
  <dcterms:created xsi:type="dcterms:W3CDTF">2022-05-27T16:09:00Z</dcterms:created>
  <dcterms:modified xsi:type="dcterms:W3CDTF">2022-05-27T16:22:00Z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id="eb8WtRSt"/&gt;&lt;style id="http://www.zotero.org/styles/ieee" locale="en-US" hasBibliography="1" bibliographyStyleHasBeenSet="1"/&gt;&lt;prefs&gt;&lt;pref name="fieldType" value="Field"/&gt;&lt;/prefs&gt;&lt;/data&gt;</vt:lpwstr>
  </property>
</Properties>
</file>