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9E" w:rsidRDefault="00F17A0D">
      <w:pPr>
        <w:pStyle w:val="a4"/>
        <w:rPr>
          <w:rFonts w:hint="eastAsia"/>
          <w:lang w:eastAsia="ko-KR"/>
        </w:rPr>
      </w:pPr>
      <w:r>
        <w:rPr>
          <w:rFonts w:hint="eastAsia"/>
          <w:lang w:eastAsia="ko-KR"/>
        </w:rPr>
        <w:t>deep-learning based identification of inducer cavitation instability</w:t>
      </w:r>
    </w:p>
    <w:p w:rsidR="007D469E" w:rsidRDefault="007D469E"/>
    <w:p w:rsidR="007D469E" w:rsidRDefault="007D469E"/>
    <w:tbl>
      <w:tblPr>
        <w:tblW w:w="9039" w:type="dxa"/>
        <w:tblLayout w:type="fixed"/>
        <w:tblLook w:val="0000"/>
      </w:tblPr>
      <w:tblGrid>
        <w:gridCol w:w="3085"/>
        <w:gridCol w:w="2977"/>
        <w:gridCol w:w="2977"/>
      </w:tblGrid>
      <w:tr w:rsidR="00F17A0D" w:rsidTr="00F17A0D">
        <w:tc>
          <w:tcPr>
            <w:tcW w:w="3085" w:type="dxa"/>
          </w:tcPr>
          <w:p w:rsidR="00F17A0D" w:rsidRDefault="00F17A0D">
            <w:pPr>
              <w:pStyle w:val="Affiliation"/>
              <w:rPr>
                <w:rFonts w:hint="eastAsia"/>
                <w:lang w:eastAsia="ko-KR"/>
              </w:rPr>
            </w:pPr>
            <w:r>
              <w:rPr>
                <w:rFonts w:hint="eastAsia"/>
                <w:lang w:eastAsia="ko-KR"/>
              </w:rPr>
              <w:t>Youngkuk Yoon</w:t>
            </w:r>
          </w:p>
          <w:p w:rsidR="00F17A0D" w:rsidRDefault="00F17A0D">
            <w:pPr>
              <w:pStyle w:val="Affiliation"/>
              <w:rPr>
                <w:rFonts w:hint="eastAsia"/>
                <w:lang w:eastAsia="ko-KR"/>
              </w:rPr>
            </w:pPr>
            <w:r>
              <w:rPr>
                <w:rFonts w:hint="eastAsia"/>
                <w:lang w:eastAsia="ko-KR"/>
              </w:rPr>
              <w:t>Department of Mechanical Engineering</w:t>
            </w:r>
          </w:p>
          <w:p w:rsidR="00F17A0D" w:rsidRDefault="00F17A0D">
            <w:pPr>
              <w:pStyle w:val="Affiliation"/>
              <w:rPr>
                <w:rFonts w:hint="eastAsia"/>
                <w:lang w:eastAsia="ko-KR"/>
              </w:rPr>
            </w:pPr>
            <w:r>
              <w:rPr>
                <w:rFonts w:hint="eastAsia"/>
                <w:lang w:eastAsia="ko-KR"/>
              </w:rPr>
              <w:t>Seoul National University</w:t>
            </w:r>
          </w:p>
          <w:p w:rsidR="00F17A0D" w:rsidRDefault="00F17A0D">
            <w:pPr>
              <w:pStyle w:val="Affiliation"/>
              <w:rPr>
                <w:rFonts w:hint="eastAsia"/>
                <w:lang w:eastAsia="ko-KR"/>
              </w:rPr>
            </w:pPr>
            <w:r>
              <w:rPr>
                <w:lang w:eastAsia="ko-KR"/>
              </w:rPr>
              <w:t>truesky</w:t>
            </w:r>
            <w:r>
              <w:rPr>
                <w:rFonts w:hint="eastAsia"/>
                <w:lang w:eastAsia="ko-KR"/>
              </w:rPr>
              <w:t>1218@snu.ac.kr</w:t>
            </w:r>
          </w:p>
        </w:tc>
        <w:tc>
          <w:tcPr>
            <w:tcW w:w="2977" w:type="dxa"/>
          </w:tcPr>
          <w:p w:rsidR="00F17A0D" w:rsidRDefault="00F17A0D" w:rsidP="00F17A0D">
            <w:pPr>
              <w:pStyle w:val="Affiliation"/>
              <w:rPr>
                <w:rFonts w:hint="eastAsia"/>
                <w:lang w:eastAsia="ko-KR"/>
              </w:rPr>
            </w:pPr>
            <w:r>
              <w:rPr>
                <w:rFonts w:hint="eastAsia"/>
                <w:lang w:eastAsia="ko-KR"/>
              </w:rPr>
              <w:t>Sang Hyeon Lee</w:t>
            </w:r>
          </w:p>
          <w:p w:rsidR="00F17A0D" w:rsidRDefault="00F17A0D" w:rsidP="00F17A0D">
            <w:pPr>
              <w:pStyle w:val="Affiliation"/>
              <w:rPr>
                <w:rFonts w:hint="eastAsia"/>
                <w:lang w:eastAsia="ko-KR"/>
              </w:rPr>
            </w:pPr>
            <w:r>
              <w:rPr>
                <w:rFonts w:hint="eastAsia"/>
                <w:lang w:eastAsia="ko-KR"/>
              </w:rPr>
              <w:t>Department of Mechanical Engineering</w:t>
            </w:r>
          </w:p>
          <w:p w:rsidR="00F17A0D" w:rsidRDefault="00F17A0D" w:rsidP="00F17A0D">
            <w:pPr>
              <w:pStyle w:val="Affiliation"/>
              <w:rPr>
                <w:rFonts w:hint="eastAsia"/>
                <w:lang w:eastAsia="ko-KR"/>
              </w:rPr>
            </w:pPr>
            <w:r>
              <w:rPr>
                <w:rFonts w:hint="eastAsia"/>
                <w:lang w:eastAsia="ko-KR"/>
              </w:rPr>
              <w:t>Seoul National University</w:t>
            </w:r>
          </w:p>
          <w:p w:rsidR="00F17A0D" w:rsidRDefault="00F17A0D" w:rsidP="00F17A0D">
            <w:pPr>
              <w:pStyle w:val="Affiliation"/>
              <w:rPr>
                <w:rFonts w:hint="eastAsia"/>
                <w:lang w:eastAsia="ko-KR"/>
              </w:rPr>
            </w:pPr>
            <w:r>
              <w:rPr>
                <w:lang w:eastAsia="ko-KR"/>
              </w:rPr>
              <w:t>bear</w:t>
            </w:r>
            <w:r>
              <w:rPr>
                <w:rFonts w:hint="eastAsia"/>
                <w:lang w:eastAsia="ko-KR"/>
              </w:rPr>
              <w:t>11235@snu.ac.kr</w:t>
            </w:r>
          </w:p>
        </w:tc>
        <w:tc>
          <w:tcPr>
            <w:tcW w:w="2977" w:type="dxa"/>
          </w:tcPr>
          <w:p w:rsidR="00F17A0D" w:rsidRDefault="00F17A0D">
            <w:pPr>
              <w:pStyle w:val="Affiliation"/>
              <w:rPr>
                <w:rFonts w:hint="eastAsia"/>
                <w:lang w:eastAsia="ko-KR"/>
              </w:rPr>
            </w:pPr>
            <w:r>
              <w:rPr>
                <w:rFonts w:hint="eastAsia"/>
                <w:lang w:eastAsia="ko-KR"/>
              </w:rPr>
              <w:t>Seung Jin Song</w:t>
            </w:r>
          </w:p>
          <w:p w:rsidR="00F17A0D" w:rsidRDefault="00F17A0D">
            <w:pPr>
              <w:pStyle w:val="Affiliation"/>
              <w:rPr>
                <w:rFonts w:hint="eastAsia"/>
                <w:lang w:eastAsia="ko-KR"/>
              </w:rPr>
            </w:pPr>
            <w:r>
              <w:rPr>
                <w:rFonts w:hint="eastAsia"/>
                <w:lang w:eastAsia="ko-KR"/>
              </w:rPr>
              <w:t>Department of Mechanical Engineering</w:t>
            </w:r>
          </w:p>
          <w:p w:rsidR="00F17A0D" w:rsidRDefault="00F17A0D">
            <w:pPr>
              <w:pStyle w:val="Affiliation"/>
              <w:rPr>
                <w:rFonts w:hint="eastAsia"/>
                <w:lang w:eastAsia="ko-KR"/>
              </w:rPr>
            </w:pPr>
            <w:r>
              <w:rPr>
                <w:rFonts w:hint="eastAsia"/>
                <w:lang w:eastAsia="ko-KR"/>
              </w:rPr>
              <w:t>Seoul National University</w:t>
            </w:r>
          </w:p>
          <w:p w:rsidR="00F17A0D" w:rsidRDefault="00F17A0D">
            <w:pPr>
              <w:pStyle w:val="Affiliation"/>
              <w:rPr>
                <w:rFonts w:hint="eastAsia"/>
                <w:lang w:eastAsia="ko-KR"/>
              </w:rPr>
            </w:pPr>
            <w:r>
              <w:rPr>
                <w:rFonts w:hint="eastAsia"/>
                <w:lang w:eastAsia="ko-KR"/>
              </w:rPr>
              <w:t>sjsong@snu.ac.kr</w:t>
            </w:r>
          </w:p>
        </w:tc>
      </w:tr>
    </w:tbl>
    <w:p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rsidR="007D469E" w:rsidRDefault="007D469E">
      <w:pPr>
        <w:pStyle w:val="AbstractClauseTitle"/>
      </w:pPr>
    </w:p>
    <w:p w:rsidR="007D469E" w:rsidRDefault="007D469E">
      <w:pPr>
        <w:pStyle w:val="AbstractClauseTitle"/>
      </w:pPr>
    </w:p>
    <w:p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rsidR="007D469E" w:rsidRDefault="007D469E">
      <w:pPr>
        <w:pStyle w:val="AbstractClauseTitle"/>
      </w:pPr>
    </w:p>
    <w:p w:rsidR="007D469E" w:rsidRDefault="007D469E">
      <w:pPr>
        <w:pStyle w:val="AbstractClauseTitle"/>
      </w:pPr>
      <w:r>
        <w:t>Abstract</w:t>
      </w:r>
    </w:p>
    <w:p w:rsidR="007D469E" w:rsidRDefault="00B01C42">
      <w:pPr>
        <w:pStyle w:val="2"/>
        <w:rPr>
          <w:rFonts w:hint="eastAsia"/>
          <w:lang w:eastAsia="ko-KR"/>
        </w:rPr>
      </w:pPr>
      <w:r>
        <w:rPr>
          <w:rFonts w:hint="eastAsia"/>
          <w:lang w:eastAsia="ko-KR"/>
        </w:rPr>
        <w:t xml:space="preserve">A deep-learning based method is introduced to detect and identify the inducer cavitation instability. To identify alternate blade cavitation, which </w:t>
      </w:r>
      <w:r w:rsidR="007950EA">
        <w:rPr>
          <w:rFonts w:hint="eastAsia"/>
          <w:lang w:eastAsia="ko-KR"/>
        </w:rPr>
        <w:t xml:space="preserve">is a common cavitation instability </w:t>
      </w:r>
      <w:r>
        <w:rPr>
          <w:rFonts w:hint="eastAsia"/>
          <w:lang w:eastAsia="ko-KR"/>
        </w:rPr>
        <w:t>occurs at two-bladed inducer, raw unsteady pressure data under equal length cavitation (symmetric development of cavity</w:t>
      </w:r>
      <w:r w:rsidR="007950EA">
        <w:rPr>
          <w:rFonts w:hint="eastAsia"/>
          <w:lang w:eastAsia="ko-KR"/>
        </w:rPr>
        <w:t>, not an instability</w:t>
      </w:r>
      <w:r>
        <w:rPr>
          <w:rFonts w:hint="eastAsia"/>
          <w:lang w:eastAsia="ko-KR"/>
        </w:rPr>
        <w:t>) and alternate blade cavitation are used as train data sets. These train data sets construct the neural network which can label the unknown data set as with or without cavitation instability. In the present research, after the training process of the neural network, the network provided high (over 80%) identification ratio of the alternate blade cavitation and also showed</w:t>
      </w:r>
      <w:r w:rsidR="007950EA">
        <w:rPr>
          <w:rFonts w:hint="eastAsia"/>
          <w:lang w:eastAsia="ko-KR"/>
        </w:rPr>
        <w:t xml:space="preserve"> robustness against random noise.</w:t>
      </w:r>
    </w:p>
    <w:p w:rsidR="007D469E" w:rsidRDefault="007D469E">
      <w:pPr>
        <w:pStyle w:val="2"/>
      </w:pPr>
    </w:p>
    <w:p w:rsidR="007D469E" w:rsidRDefault="007D469E">
      <w:pPr>
        <w:pStyle w:val="AbstractClauseTitle"/>
      </w:pPr>
      <w:r>
        <w:t>introduction</w:t>
      </w:r>
    </w:p>
    <w:p w:rsidR="007D469E" w:rsidRDefault="007950EA">
      <w:pPr>
        <w:pStyle w:val="2"/>
        <w:rPr>
          <w:rFonts w:hint="eastAsia"/>
          <w:lang w:eastAsia="ko-KR"/>
        </w:rPr>
      </w:pPr>
      <w:r>
        <w:rPr>
          <w:rFonts w:hint="eastAsia"/>
          <w:lang w:eastAsia="ko-KR"/>
        </w:rPr>
        <w:t xml:space="preserve">Inducer cavitation instabilities manifest themselves as various frequency peaks located above and below the shaft frequency harmonics with </w:t>
      </w:r>
      <w:r>
        <w:rPr>
          <w:lang w:eastAsia="ko-KR"/>
        </w:rPr>
        <w:t>certain</w:t>
      </w:r>
      <w:r>
        <w:rPr>
          <w:rFonts w:hint="eastAsia"/>
          <w:lang w:eastAsia="ko-KR"/>
        </w:rPr>
        <w:t xml:space="preserve"> spatial mode and propagating direction. To identify and categorize those instabilities, multi-point unsteady pressure measurement has been widely used. With at least five circumferential measurement points in general, their frequency, spatial mode (usually first or second modes are observed), and propagating direction can be fully identified. However, even though the spatial and temporal Fourier transformation provides the exact mathematical decomposition of the raw unsteady pressure signals, the classification of frequency characteristics into different instabilities are still done manually. Therefore, the criteria between different instability should be determined a priori, and visual inspection of the Fourier transformation results should be continuously accompanied. </w:t>
      </w:r>
      <w:r w:rsidR="00752DA1">
        <w:rPr>
          <w:rFonts w:hint="eastAsia"/>
          <w:lang w:eastAsia="ko-KR"/>
        </w:rPr>
        <w:t>This interrupts the rapid decision procedure at real-time instability detection, and furthermore, unknown anomalies under new operating condition or machine cannot be classified directly. Therefore</w:t>
      </w:r>
      <w:r>
        <w:rPr>
          <w:rFonts w:hint="eastAsia"/>
          <w:lang w:eastAsia="ko-KR"/>
        </w:rPr>
        <w:t xml:space="preserve">, </w:t>
      </w:r>
      <w:r w:rsidR="00752DA1">
        <w:rPr>
          <w:rFonts w:hint="eastAsia"/>
          <w:lang w:eastAsia="ko-KR"/>
        </w:rPr>
        <w:t>with the aid of deep-learning based method, the identification and categorization of the instabilities should be done automatically. Thus, on this ground, the present research conducted the preliminary study which tests the ability of the neural network that whether it can capture the different frequency characteristics of the raw data with supervision.</w:t>
      </w:r>
    </w:p>
    <w:p w:rsidR="007D469E" w:rsidRDefault="007D469E" w:rsidP="007D469E">
      <w:pPr>
        <w:pStyle w:val="NomenclatureClauseTitle"/>
      </w:pPr>
      <w:r>
        <w:t>RESULTS and DISCUSSION</w:t>
      </w:r>
    </w:p>
    <w:p w:rsidR="007D469E" w:rsidRDefault="00752DA1">
      <w:pPr>
        <w:pStyle w:val="2"/>
        <w:rPr>
          <w:rFonts w:hint="eastAsia"/>
          <w:lang w:eastAsia="ko-KR"/>
        </w:rPr>
      </w:pPr>
      <w:r>
        <w:rPr>
          <w:rFonts w:hint="eastAsia"/>
          <w:lang w:eastAsia="ko-KR"/>
        </w:rPr>
        <w:t xml:space="preserve">Firstly, the neural network is constructed as Fig. 1. The raw data for two-bladed inducer, which are unsteady pressure measurements obtained at five measurements points under sample rate of 2kS/s, with and without </w:t>
      </w:r>
      <w:r>
        <w:rPr>
          <w:lang w:eastAsia="ko-KR"/>
        </w:rPr>
        <w:t>alternate</w:t>
      </w:r>
      <w:r>
        <w:rPr>
          <w:rFonts w:hint="eastAsia"/>
          <w:lang w:eastAsia="ko-KR"/>
        </w:rPr>
        <w:t xml:space="preserve"> blade cavitation are used as an input of the network. Then, using the 3, 5, and 7 kernel, data is reduced to a certain degree. </w:t>
      </w:r>
      <w:r w:rsidR="00E2302F">
        <w:rPr>
          <w:rFonts w:hint="eastAsia"/>
          <w:lang w:eastAsia="ko-KR"/>
        </w:rPr>
        <w:t xml:space="preserve">By passing the fully connected hidden layer, the data are classified into two groups, with and without alternate blade cavitation. 500 data sets each for with and without alternate blade cavitation are used for training the weight and bias of the network. After the training, unknown data sets which have been previously classified manually are used as an input. Also, synthetic data </w:t>
      </w:r>
      <w:r w:rsidR="00E2302F">
        <w:rPr>
          <w:lang w:eastAsia="ko-KR"/>
        </w:rPr>
        <w:t>sets</w:t>
      </w:r>
      <w:r w:rsidR="00E2302F">
        <w:rPr>
          <w:rFonts w:hint="eastAsia"/>
          <w:lang w:eastAsia="ko-KR"/>
        </w:rPr>
        <w:t xml:space="preserve">, which are </w:t>
      </w:r>
      <w:r w:rsidR="00E2302F">
        <w:rPr>
          <w:lang w:eastAsia="ko-KR"/>
        </w:rPr>
        <w:t>constructed,</w:t>
      </w:r>
      <w:r w:rsidR="00E2302F">
        <w:rPr>
          <w:rFonts w:hint="eastAsia"/>
          <w:lang w:eastAsia="ko-KR"/>
        </w:rPr>
        <w:t xml:space="preserve"> based on the frequency c</w:t>
      </w:r>
      <w:r w:rsidR="00113C8A">
        <w:rPr>
          <w:rFonts w:hint="eastAsia"/>
          <w:lang w:eastAsia="ko-KR"/>
        </w:rPr>
        <w:t>haracteristic of the alternate blade cavitation</w:t>
      </w:r>
      <w:r w:rsidR="00E2302F">
        <w:rPr>
          <w:rFonts w:hint="eastAsia"/>
          <w:lang w:eastAsia="ko-KR"/>
        </w:rPr>
        <w:t>, but with 5% of random Gaussian noises, are used as an input. The identification ratio (</w:t>
      </w:r>
      <w:r w:rsidR="00113C8A">
        <w:rPr>
          <w:rFonts w:hint="eastAsia"/>
          <w:lang w:eastAsia="ko-KR"/>
        </w:rPr>
        <w:t xml:space="preserve">the </w:t>
      </w:r>
      <w:r w:rsidR="00E2302F">
        <w:rPr>
          <w:rFonts w:hint="eastAsia"/>
          <w:lang w:eastAsia="ko-KR"/>
        </w:rPr>
        <w:t>number of correctly answered set</w:t>
      </w:r>
      <w:r w:rsidR="00113C8A">
        <w:rPr>
          <w:rFonts w:hint="eastAsia"/>
          <w:lang w:eastAsia="ko-KR"/>
        </w:rPr>
        <w:t xml:space="preserve"> </w:t>
      </w:r>
      <w:r w:rsidR="00113C8A">
        <w:rPr>
          <w:lang w:eastAsia="ko-KR"/>
        </w:rPr>
        <w:t>divided</w:t>
      </w:r>
      <w:r w:rsidR="00113C8A">
        <w:rPr>
          <w:rFonts w:hint="eastAsia"/>
          <w:lang w:eastAsia="ko-KR"/>
        </w:rPr>
        <w:t xml:space="preserve"> by the number of total test sets) was larger than 80%. Considering the existence of noise and small number of training sets, the network can be said to have a good ability to detect the different frequency characteristic of the raw time series data. However, further developments should be eventually done. The classification process should be done automatically without supervision. Key anomalies should be identified </w:t>
      </w:r>
      <w:r w:rsidR="003118E1">
        <w:rPr>
          <w:rFonts w:hint="eastAsia"/>
          <w:lang w:eastAsia="ko-KR"/>
        </w:rPr>
        <w:t xml:space="preserve">without the pre-defined answer. This allows </w:t>
      </w:r>
      <w:r w:rsidR="003118E1">
        <w:rPr>
          <w:lang w:eastAsia="ko-KR"/>
        </w:rPr>
        <w:t>detecting and classifying</w:t>
      </w:r>
      <w:r w:rsidR="003118E1">
        <w:rPr>
          <w:rFonts w:hint="eastAsia"/>
          <w:lang w:eastAsia="ko-KR"/>
        </w:rPr>
        <w:t xml:space="preserve"> the instabilities even though the experiments are conducted under new operating condition or new machine, and the present method can be applied to provide criteria for the unknown instabilities. </w:t>
      </w:r>
    </w:p>
    <w:p w:rsidR="007D469E" w:rsidRDefault="007D469E">
      <w:pPr>
        <w:pStyle w:val="2"/>
      </w:pPr>
    </w:p>
    <w:tbl>
      <w:tblPr>
        <w:tblW w:w="0" w:type="auto"/>
        <w:jc w:val="center"/>
        <w:tblLook w:val="00A0"/>
      </w:tblPr>
      <w:tblGrid>
        <w:gridCol w:w="9245"/>
      </w:tblGrid>
      <w:tr w:rsidR="007D469E" w:rsidTr="007D469E">
        <w:trPr>
          <w:jc w:val="center"/>
        </w:trPr>
        <w:tc>
          <w:tcPr>
            <w:tcW w:w="9245" w:type="dxa"/>
            <w:shd w:val="clear" w:color="auto" w:fill="auto"/>
          </w:tcPr>
          <w:p w:rsidR="007D469E" w:rsidRDefault="00B01C42" w:rsidP="00B01C42">
            <w:pPr>
              <w:pStyle w:val="2"/>
              <w:ind w:firstLine="0"/>
              <w:jc w:val="center"/>
            </w:pPr>
            <w:r w:rsidRPr="00B01C42">
              <w:lastRenderedPageBreak/>
              <w:drawing>
                <wp:inline distT="0" distB="0" distL="0" distR="0">
                  <wp:extent cx="5943600" cy="2258695"/>
                  <wp:effectExtent l="0" t="0" r="0" b="0"/>
                  <wp:docPr id="1" name="개체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167568" cy="5004049"/>
                            <a:chOff x="-714412" y="285728"/>
                            <a:chExt cx="13167568" cy="5004049"/>
                          </a:xfrm>
                        </a:grpSpPr>
                        <a:sp>
                          <a:nvSpPr>
                            <a:cNvPr id="4" name="직사각형 3"/>
                            <a:cNvSpPr/>
                          </a:nvSpPr>
                          <a:spPr>
                            <a:xfrm>
                              <a:off x="1000100" y="1000108"/>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직사각형 4"/>
                            <a:cNvSpPr/>
                          </a:nvSpPr>
                          <a:spPr>
                            <a:xfrm>
                              <a:off x="1000100" y="1285860"/>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직사각형 5"/>
                            <a:cNvSpPr/>
                          </a:nvSpPr>
                          <a:spPr>
                            <a:xfrm>
                              <a:off x="1000100" y="1571612"/>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직사각형 6"/>
                            <a:cNvSpPr/>
                          </a:nvSpPr>
                          <a:spPr>
                            <a:xfrm>
                              <a:off x="1000100" y="1857364"/>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직사각형 7"/>
                            <a:cNvSpPr/>
                          </a:nvSpPr>
                          <a:spPr>
                            <a:xfrm>
                              <a:off x="1000100" y="2143116"/>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타원 8"/>
                            <a:cNvSpPr/>
                          </a:nvSpPr>
                          <a:spPr>
                            <a:xfrm>
                              <a:off x="1142976" y="2571744"/>
                              <a:ext cx="142876" cy="142876"/>
                            </a:xfrm>
                            <a:prstGeom prst="ellipse">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타원 9"/>
                            <a:cNvSpPr/>
                          </a:nvSpPr>
                          <a:spPr>
                            <a:xfrm>
                              <a:off x="1142976" y="2857496"/>
                              <a:ext cx="142876" cy="142876"/>
                            </a:xfrm>
                            <a:prstGeom prst="ellipse">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타원 10"/>
                            <a:cNvSpPr/>
                          </a:nvSpPr>
                          <a:spPr>
                            <a:xfrm>
                              <a:off x="1142976" y="3143248"/>
                              <a:ext cx="142876" cy="142876"/>
                            </a:xfrm>
                            <a:prstGeom prst="ellipse">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직사각형 11"/>
                            <a:cNvSpPr/>
                          </a:nvSpPr>
                          <a:spPr>
                            <a:xfrm>
                              <a:off x="1000100" y="3429000"/>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직사각형 12"/>
                            <a:cNvSpPr/>
                          </a:nvSpPr>
                          <a:spPr>
                            <a:xfrm>
                              <a:off x="1000100" y="3714752"/>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직사각형 13"/>
                            <a:cNvSpPr/>
                          </a:nvSpPr>
                          <a:spPr>
                            <a:xfrm>
                              <a:off x="1000100" y="4000504"/>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직사각형 14"/>
                            <a:cNvSpPr/>
                          </a:nvSpPr>
                          <a:spPr>
                            <a:xfrm>
                              <a:off x="1000100" y="4286256"/>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직사각형 15"/>
                            <a:cNvSpPr/>
                          </a:nvSpPr>
                          <a:spPr>
                            <a:xfrm>
                              <a:off x="1000100" y="4572008"/>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직사각형 16"/>
                            <a:cNvSpPr/>
                          </a:nvSpPr>
                          <a:spPr>
                            <a:xfrm>
                              <a:off x="2500298" y="1357298"/>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2">
                                <a:shade val="50000"/>
                              </a:schemeClr>
                            </a:lnRef>
                            <a:fillRef idx="1">
                              <a:schemeClr val="accent2"/>
                            </a:fillRef>
                            <a:effectRef idx="0">
                              <a:schemeClr val="accent2"/>
                            </a:effectRef>
                            <a:fontRef idx="minor">
                              <a:schemeClr val="lt1"/>
                            </a:fontRef>
                          </a:style>
                        </a:sp>
                        <a:sp>
                          <a:nvSpPr>
                            <a:cNvPr id="18" name="직사각형 17"/>
                            <a:cNvSpPr/>
                          </a:nvSpPr>
                          <a:spPr>
                            <a:xfrm>
                              <a:off x="2500298" y="2786058"/>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2">
                                <a:shade val="50000"/>
                              </a:schemeClr>
                            </a:lnRef>
                            <a:fillRef idx="1">
                              <a:schemeClr val="accent2"/>
                            </a:fillRef>
                            <a:effectRef idx="0">
                              <a:schemeClr val="accent2"/>
                            </a:effectRef>
                            <a:fontRef idx="minor">
                              <a:schemeClr val="lt1"/>
                            </a:fontRef>
                          </a:style>
                        </a:sp>
                        <a:sp>
                          <a:nvSpPr>
                            <a:cNvPr id="19" name="직사각형 18"/>
                            <a:cNvSpPr/>
                          </a:nvSpPr>
                          <a:spPr>
                            <a:xfrm>
                              <a:off x="2500298" y="4214818"/>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2">
                                <a:shade val="50000"/>
                              </a:schemeClr>
                            </a:lnRef>
                            <a:fillRef idx="1">
                              <a:schemeClr val="accent2"/>
                            </a:fillRef>
                            <a:effectRef idx="0">
                              <a:schemeClr val="accent2"/>
                            </a:effectRef>
                            <a:fontRef idx="minor">
                              <a:schemeClr val="lt1"/>
                            </a:fontRef>
                          </a:style>
                        </a:sp>
                        <a:sp>
                          <a:nvSpPr>
                            <a:cNvPr id="20" name="직사각형 19"/>
                            <a:cNvSpPr/>
                          </a:nvSpPr>
                          <a:spPr>
                            <a:xfrm>
                              <a:off x="3571868" y="1357298"/>
                              <a:ext cx="1857388" cy="3143272"/>
                            </a:xfrm>
                            <a:prstGeom prst="rect">
                              <a:avLst/>
                            </a:prstGeom>
                            <a:blipFill>
                              <a:blip r:embed="rId10"/>
                              <a:tile tx="0" ty="0" sx="100000" sy="100000" flip="none" algn="tl"/>
                            </a:blipFill>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3">
                                <a:shade val="50000"/>
                              </a:schemeClr>
                            </a:lnRef>
                            <a:fillRef idx="1">
                              <a:schemeClr val="accent3"/>
                            </a:fillRef>
                            <a:effectRef idx="0">
                              <a:schemeClr val="accent3"/>
                            </a:effectRef>
                            <a:fontRef idx="minor">
                              <a:schemeClr val="lt1"/>
                            </a:fontRef>
                          </a:style>
                        </a:sp>
                        <a:sp>
                          <a:nvSpPr>
                            <a:cNvPr id="21" name="직사각형 20"/>
                            <a:cNvSpPr/>
                          </a:nvSpPr>
                          <a:spPr>
                            <a:xfrm>
                              <a:off x="6297857" y="2237292"/>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4">
                                <a:shade val="50000"/>
                              </a:schemeClr>
                            </a:lnRef>
                            <a:fillRef idx="1">
                              <a:schemeClr val="accent4"/>
                            </a:fillRef>
                            <a:effectRef idx="0">
                              <a:schemeClr val="accent4"/>
                            </a:effectRef>
                            <a:fontRef idx="minor">
                              <a:schemeClr val="lt1"/>
                            </a:fontRef>
                          </a:style>
                        </a:sp>
                        <a:sp>
                          <a:nvSpPr>
                            <a:cNvPr id="22" name="직사각형 21"/>
                            <a:cNvSpPr/>
                          </a:nvSpPr>
                          <a:spPr>
                            <a:xfrm>
                              <a:off x="6286512" y="3357562"/>
                              <a:ext cx="428628" cy="285752"/>
                            </a:xfrm>
                            <a:prstGeom prst="rect">
                              <a:avLst/>
                            </a:prstGeom>
                          </a:spPr>
                          <a:txSp>
                            <a:txBody>
                              <a:bodyPr rtlCol="0" anchor="ctr"/>
                              <a:lstStyle>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a:pPr algn="ctr"/>
                                <a:endParaRPr lang="ko-KR" altLang="en-US"/>
                              </a:p>
                            </a:txBody>
                            <a:useSpRect/>
                          </a:txSp>
                          <a:style>
                            <a:lnRef idx="2">
                              <a:schemeClr val="accent4">
                                <a:shade val="50000"/>
                              </a:schemeClr>
                            </a:lnRef>
                            <a:fillRef idx="1">
                              <a:schemeClr val="accent4"/>
                            </a:fillRef>
                            <a:effectRef idx="0">
                              <a:schemeClr val="accent4"/>
                            </a:effectRef>
                            <a:fontRef idx="minor">
                              <a:schemeClr val="lt1"/>
                            </a:fontRef>
                          </a:style>
                        </a:sp>
                        <a:sp>
                          <a:nvSpPr>
                            <a:cNvPr id="23" name="TextBox 22"/>
                            <a:cNvSpPr txBox="1"/>
                          </a:nvSpPr>
                          <a:spPr>
                            <a:xfrm>
                              <a:off x="-714412" y="285728"/>
                              <a:ext cx="3824573" cy="646331"/>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Raw data</a:t>
                                </a:r>
                              </a:p>
                              <a:p>
                                <a:pPr algn="ctr"/>
                                <a:r>
                                  <a:rPr lang="en-US" altLang="ko-KR" dirty="0" smtClean="0"/>
                                  <a:t>(unsteady pressure measurements)</a:t>
                                </a:r>
                                <a:endParaRPr lang="ko-KR" altLang="en-US" dirty="0"/>
                              </a:p>
                            </a:txBody>
                            <a:useSpRect/>
                          </a:txSp>
                        </a:sp>
                        <a:cxnSp>
                          <a:nvCxnSpPr>
                            <a:cNvPr id="25" name="직선 연결선 24"/>
                            <a:cNvCxnSpPr>
                              <a:stCxn id="4" idx="3"/>
                              <a:endCxn id="17" idx="1"/>
                            </a:cNvCxnSpPr>
                          </a:nvCxnSpPr>
                          <a:spPr>
                            <a:xfrm>
                              <a:off x="1428728" y="1142984"/>
                              <a:ext cx="1071570" cy="35719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직선 연결선 26"/>
                            <a:cNvCxnSpPr>
                              <a:stCxn id="5" idx="3"/>
                              <a:endCxn id="17" idx="1"/>
                            </a:cNvCxnSpPr>
                          </a:nvCxnSpPr>
                          <a:spPr>
                            <a:xfrm>
                              <a:off x="1428728" y="1428736"/>
                              <a:ext cx="1071570"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직선 연결선 28"/>
                            <a:cNvCxnSpPr>
                              <a:stCxn id="6" idx="3"/>
                              <a:endCxn id="17" idx="1"/>
                            </a:cNvCxnSpPr>
                          </a:nvCxnSpPr>
                          <a:spPr>
                            <a:xfrm flipV="1">
                              <a:off x="1428728" y="1500174"/>
                              <a:ext cx="1071570" cy="214314"/>
                            </a:xfrm>
                            <a:prstGeom prst="line">
                              <a:avLst/>
                            </a:prstGeom>
                          </a:spPr>
                          <a:style>
                            <a:lnRef idx="1">
                              <a:schemeClr val="accent1"/>
                            </a:lnRef>
                            <a:fillRef idx="0">
                              <a:schemeClr val="accent1"/>
                            </a:fillRef>
                            <a:effectRef idx="0">
                              <a:schemeClr val="accent1"/>
                            </a:effectRef>
                            <a:fontRef idx="minor">
                              <a:schemeClr val="tx1"/>
                            </a:fontRef>
                          </a:style>
                        </a:cxnSp>
                        <a:cxnSp>
                          <a:nvCxnSpPr>
                            <a:cNvPr id="31" name="직선 연결선 30"/>
                            <a:cNvCxnSpPr>
                              <a:stCxn id="8" idx="3"/>
                              <a:endCxn id="18" idx="1"/>
                            </a:cNvCxnSpPr>
                          </a:nvCxnSpPr>
                          <a:spPr>
                            <a:xfrm>
                              <a:off x="1428728" y="2285992"/>
                              <a:ext cx="1071570" cy="642942"/>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직선 연결선 32"/>
                            <a:cNvCxnSpPr>
                              <a:stCxn id="12" idx="3"/>
                              <a:endCxn id="18" idx="1"/>
                            </a:cNvCxnSpPr>
                          </a:nvCxnSpPr>
                          <a:spPr>
                            <a:xfrm flipV="1">
                              <a:off x="1428728" y="2928934"/>
                              <a:ext cx="1071570" cy="642942"/>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직선 연결선 34"/>
                            <a:cNvCxnSpPr>
                              <a:stCxn id="14" idx="3"/>
                              <a:endCxn id="19" idx="1"/>
                            </a:cNvCxnSpPr>
                          </a:nvCxnSpPr>
                          <a:spPr>
                            <a:xfrm>
                              <a:off x="1428728" y="4143380"/>
                              <a:ext cx="1071570" cy="214314"/>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직선 연결선 36"/>
                            <a:cNvCxnSpPr>
                              <a:stCxn id="15" idx="3"/>
                              <a:endCxn id="19" idx="1"/>
                            </a:cNvCxnSpPr>
                          </a:nvCxnSpPr>
                          <a:spPr>
                            <a:xfrm flipV="1">
                              <a:off x="1428728" y="4357694"/>
                              <a:ext cx="1071570" cy="71438"/>
                            </a:xfrm>
                            <a:prstGeom prst="line">
                              <a:avLst/>
                            </a:prstGeom>
                          </a:spPr>
                          <a:style>
                            <a:lnRef idx="1">
                              <a:schemeClr val="accent1"/>
                            </a:lnRef>
                            <a:fillRef idx="0">
                              <a:schemeClr val="accent1"/>
                            </a:fillRef>
                            <a:effectRef idx="0">
                              <a:schemeClr val="accent1"/>
                            </a:effectRef>
                            <a:fontRef idx="minor">
                              <a:schemeClr val="tx1"/>
                            </a:fontRef>
                          </a:style>
                        </a:cxnSp>
                        <a:cxnSp>
                          <a:nvCxnSpPr>
                            <a:cNvPr id="39" name="직선 연결선 38"/>
                            <a:cNvCxnSpPr>
                              <a:stCxn id="16" idx="3"/>
                              <a:endCxn id="19" idx="1"/>
                            </a:cNvCxnSpPr>
                          </a:nvCxnSpPr>
                          <a:spPr>
                            <a:xfrm flipV="1">
                              <a:off x="1428728" y="4357694"/>
                              <a:ext cx="1071570" cy="35719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직선 연결선 40"/>
                            <a:cNvCxnSpPr>
                              <a:stCxn id="17" idx="3"/>
                            </a:cNvCxnSpPr>
                          </a:nvCxnSpPr>
                          <a:spPr>
                            <a:xfrm>
                              <a:off x="2928926" y="1500174"/>
                              <a:ext cx="64294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직선 연결선 42"/>
                            <a:cNvCxnSpPr>
                              <a:stCxn id="17" idx="3"/>
                              <a:endCxn id="20" idx="1"/>
                            </a:cNvCxnSpPr>
                          </a:nvCxnSpPr>
                          <a:spPr>
                            <a:xfrm>
                              <a:off x="2928926" y="1500174"/>
                              <a:ext cx="642942" cy="14287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5" name="직선 연결선 44"/>
                            <a:cNvCxnSpPr>
                              <a:stCxn id="17" idx="3"/>
                            </a:cNvCxnSpPr>
                          </a:nvCxnSpPr>
                          <a:spPr>
                            <a:xfrm>
                              <a:off x="2928926" y="1500174"/>
                              <a:ext cx="642942" cy="285752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 name="직선 연결선 46"/>
                            <a:cNvCxnSpPr>
                              <a:stCxn id="18" idx="3"/>
                            </a:cNvCxnSpPr>
                          </a:nvCxnSpPr>
                          <a:spPr>
                            <a:xfrm flipV="1">
                              <a:off x="2928926" y="1500174"/>
                              <a:ext cx="642942" cy="14287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 name="직선 연결선 48"/>
                            <a:cNvCxnSpPr>
                              <a:stCxn id="18" idx="3"/>
                              <a:endCxn id="20" idx="1"/>
                            </a:cNvCxnSpPr>
                          </a:nvCxnSpPr>
                          <a:spPr>
                            <a:xfrm>
                              <a:off x="2928926" y="2928934"/>
                              <a:ext cx="64294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 name="직선 연결선 50"/>
                            <a:cNvCxnSpPr>
                              <a:stCxn id="18" idx="3"/>
                            </a:cNvCxnSpPr>
                          </a:nvCxnSpPr>
                          <a:spPr>
                            <a:xfrm>
                              <a:off x="2928926" y="2928934"/>
                              <a:ext cx="642942" cy="14287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 name="직선 연결선 52"/>
                            <a:cNvCxnSpPr>
                              <a:stCxn id="19" idx="3"/>
                            </a:cNvCxnSpPr>
                          </a:nvCxnSpPr>
                          <a:spPr>
                            <a:xfrm flipV="1">
                              <a:off x="2928926" y="1500174"/>
                              <a:ext cx="642942" cy="285752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 name="직선 연결선 54"/>
                            <a:cNvCxnSpPr>
                              <a:stCxn id="19" idx="3"/>
                              <a:endCxn id="20" idx="1"/>
                            </a:cNvCxnSpPr>
                          </a:nvCxnSpPr>
                          <a:spPr>
                            <a:xfrm flipV="1">
                              <a:off x="2928926" y="2928934"/>
                              <a:ext cx="642942" cy="14287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 name="직선 연결선 56"/>
                            <a:cNvCxnSpPr>
                              <a:stCxn id="19" idx="3"/>
                            </a:cNvCxnSpPr>
                          </a:nvCxnSpPr>
                          <a:spPr>
                            <a:xfrm>
                              <a:off x="2928926" y="4357694"/>
                              <a:ext cx="642942"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 name="직선 연결선 58"/>
                            <a:cNvCxnSpPr>
                              <a:endCxn id="21" idx="1"/>
                            </a:cNvCxnSpPr>
                          </a:nvCxnSpPr>
                          <a:spPr>
                            <a:xfrm rot="16200000" flipH="1">
                              <a:off x="5423559" y="1505870"/>
                              <a:ext cx="879994" cy="868601"/>
                            </a:xfrm>
                            <a:prstGeom prst="line">
                              <a:avLst/>
                            </a:prstGeom>
                          </a:spPr>
                          <a:style>
                            <a:lnRef idx="1">
                              <a:schemeClr val="accent1"/>
                            </a:lnRef>
                            <a:fillRef idx="0">
                              <a:schemeClr val="accent1"/>
                            </a:fillRef>
                            <a:effectRef idx="0">
                              <a:schemeClr val="accent1"/>
                            </a:effectRef>
                            <a:fontRef idx="minor">
                              <a:schemeClr val="tx1"/>
                            </a:fontRef>
                          </a:style>
                        </a:cxnSp>
                        <a:cxnSp>
                          <a:nvCxnSpPr>
                            <a:cNvPr id="61" name="직선 연결선 60"/>
                            <a:cNvCxnSpPr>
                              <a:stCxn id="20" idx="3"/>
                              <a:endCxn id="21" idx="1"/>
                            </a:cNvCxnSpPr>
                          </a:nvCxnSpPr>
                          <a:spPr>
                            <a:xfrm flipV="1">
                              <a:off x="5429256" y="2380168"/>
                              <a:ext cx="868601" cy="548766"/>
                            </a:xfrm>
                            <a:prstGeom prst="line">
                              <a:avLst/>
                            </a:prstGeom>
                          </a:spPr>
                          <a:style>
                            <a:lnRef idx="1">
                              <a:schemeClr val="accent1"/>
                            </a:lnRef>
                            <a:fillRef idx="0">
                              <a:schemeClr val="accent1"/>
                            </a:fillRef>
                            <a:effectRef idx="0">
                              <a:schemeClr val="accent1"/>
                            </a:effectRef>
                            <a:fontRef idx="minor">
                              <a:schemeClr val="tx1"/>
                            </a:fontRef>
                          </a:style>
                        </a:cxnSp>
                        <a:cxnSp>
                          <a:nvCxnSpPr>
                            <a:cNvPr id="63" name="직선 연결선 62"/>
                            <a:cNvCxnSpPr>
                              <a:endCxn id="21" idx="1"/>
                            </a:cNvCxnSpPr>
                          </a:nvCxnSpPr>
                          <a:spPr>
                            <a:xfrm rot="5400000" flipH="1" flipV="1">
                              <a:off x="4874793" y="2934631"/>
                              <a:ext cx="1977526" cy="868601"/>
                            </a:xfrm>
                            <a:prstGeom prst="line">
                              <a:avLst/>
                            </a:prstGeom>
                          </a:spPr>
                          <a:style>
                            <a:lnRef idx="1">
                              <a:schemeClr val="accent1"/>
                            </a:lnRef>
                            <a:fillRef idx="0">
                              <a:schemeClr val="accent1"/>
                            </a:fillRef>
                            <a:effectRef idx="0">
                              <a:schemeClr val="accent1"/>
                            </a:effectRef>
                            <a:fontRef idx="minor">
                              <a:schemeClr val="tx1"/>
                            </a:fontRef>
                          </a:style>
                        </a:cxnSp>
                        <a:cxnSp>
                          <a:nvCxnSpPr>
                            <a:cNvPr id="65" name="직선 연결선 64"/>
                            <a:cNvCxnSpPr>
                              <a:endCxn id="22" idx="1"/>
                            </a:cNvCxnSpPr>
                          </a:nvCxnSpPr>
                          <a:spPr>
                            <a:xfrm rot="16200000" flipH="1">
                              <a:off x="4857752" y="2071678"/>
                              <a:ext cx="2000264" cy="857256"/>
                            </a:xfrm>
                            <a:prstGeom prst="line">
                              <a:avLst/>
                            </a:prstGeom>
                          </a:spPr>
                          <a:style>
                            <a:lnRef idx="1">
                              <a:schemeClr val="accent1"/>
                            </a:lnRef>
                            <a:fillRef idx="0">
                              <a:schemeClr val="accent1"/>
                            </a:fillRef>
                            <a:effectRef idx="0">
                              <a:schemeClr val="accent1"/>
                            </a:effectRef>
                            <a:fontRef idx="minor">
                              <a:schemeClr val="tx1"/>
                            </a:fontRef>
                          </a:style>
                        </a:cxnSp>
                        <a:cxnSp>
                          <a:nvCxnSpPr>
                            <a:cNvPr id="67" name="직선 연결선 66"/>
                            <a:cNvCxnSpPr>
                              <a:stCxn id="20" idx="3"/>
                              <a:endCxn id="22" idx="1"/>
                            </a:cNvCxnSpPr>
                          </a:nvCxnSpPr>
                          <a:spPr>
                            <a:xfrm>
                              <a:off x="5429256" y="2928934"/>
                              <a:ext cx="857256" cy="571504"/>
                            </a:xfrm>
                            <a:prstGeom prst="line">
                              <a:avLst/>
                            </a:prstGeom>
                          </a:spPr>
                          <a:style>
                            <a:lnRef idx="1">
                              <a:schemeClr val="accent1"/>
                            </a:lnRef>
                            <a:fillRef idx="0">
                              <a:schemeClr val="accent1"/>
                            </a:fillRef>
                            <a:effectRef idx="0">
                              <a:schemeClr val="accent1"/>
                            </a:effectRef>
                            <a:fontRef idx="minor">
                              <a:schemeClr val="tx1"/>
                            </a:fontRef>
                          </a:style>
                        </a:cxnSp>
                        <a:cxnSp>
                          <a:nvCxnSpPr>
                            <a:cNvPr id="69" name="직선 연결선 68"/>
                            <a:cNvCxnSpPr>
                              <a:endCxn id="22" idx="1"/>
                            </a:cNvCxnSpPr>
                          </a:nvCxnSpPr>
                          <a:spPr>
                            <a:xfrm rot="5400000" flipH="1" flipV="1">
                              <a:off x="5429256" y="3500438"/>
                              <a:ext cx="857256" cy="857256"/>
                            </a:xfrm>
                            <a:prstGeom prst="line">
                              <a:avLst/>
                            </a:prstGeom>
                          </a:spPr>
                          <a:style>
                            <a:lnRef idx="1">
                              <a:schemeClr val="accent1"/>
                            </a:lnRef>
                            <a:fillRef idx="0">
                              <a:schemeClr val="accent1"/>
                            </a:fillRef>
                            <a:effectRef idx="0">
                              <a:schemeClr val="accent1"/>
                            </a:effectRef>
                            <a:fontRef idx="minor">
                              <a:schemeClr val="tx1"/>
                            </a:fontRef>
                          </a:style>
                        </a:cxnSp>
                        <a:sp>
                          <a:nvSpPr>
                            <a:cNvPr id="70" name="TextBox 69"/>
                            <a:cNvSpPr txBox="1"/>
                          </a:nvSpPr>
                          <a:spPr>
                            <a:xfrm>
                              <a:off x="1857356" y="4643446"/>
                              <a:ext cx="1742720" cy="646331"/>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Data reduction</a:t>
                                </a:r>
                              </a:p>
                              <a:p>
                                <a:pPr algn="ctr"/>
                                <a:r>
                                  <a:rPr lang="en-US" altLang="ko-KR" dirty="0" smtClean="0"/>
                                  <a:t>via kernel</a:t>
                                </a:r>
                                <a:endParaRPr lang="ko-KR" altLang="en-US" dirty="0"/>
                              </a:p>
                            </a:txBody>
                            <a:useSpRect/>
                          </a:txSp>
                        </a:sp>
                        <a:sp>
                          <a:nvSpPr>
                            <a:cNvPr id="71" name="TextBox 70"/>
                            <a:cNvSpPr txBox="1"/>
                          </a:nvSpPr>
                          <a:spPr>
                            <a:xfrm>
                              <a:off x="3571868" y="714356"/>
                              <a:ext cx="1827423" cy="646331"/>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Fully connected</a:t>
                                </a:r>
                              </a:p>
                              <a:p>
                                <a:pPr algn="ctr"/>
                                <a:r>
                                  <a:rPr lang="en-US" altLang="ko-KR" dirty="0" smtClean="0"/>
                                  <a:t>hidden layers</a:t>
                                </a:r>
                                <a:endParaRPr lang="ko-KR" altLang="en-US" dirty="0"/>
                              </a:p>
                            </a:txBody>
                            <a:useSpRect/>
                          </a:txSp>
                        </a:sp>
                        <a:sp>
                          <a:nvSpPr>
                            <a:cNvPr id="72" name="TextBox 71"/>
                            <a:cNvSpPr txBox="1"/>
                          </a:nvSpPr>
                          <a:spPr>
                            <a:xfrm>
                              <a:off x="6215074" y="1785926"/>
                              <a:ext cx="1527983"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Classification</a:t>
                                </a:r>
                                <a:endParaRPr lang="ko-KR" altLang="en-US" dirty="0"/>
                              </a:p>
                            </a:txBody>
                            <a:useSpRect/>
                          </a:txSp>
                        </a:sp>
                        <a:cxnSp>
                          <a:nvCxnSpPr>
                            <a:cNvPr id="74" name="직선 화살표 연결선 73"/>
                            <a:cNvCxnSpPr/>
                          </a:nvCxnSpPr>
                          <a:spPr>
                            <a:xfrm>
                              <a:off x="6786578" y="2357430"/>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직선 화살표 연결선 74"/>
                            <a:cNvCxnSpPr/>
                          </a:nvCxnSpPr>
                          <a:spPr>
                            <a:xfrm>
                              <a:off x="6786578" y="3500438"/>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7643834" y="2183750"/>
                              <a:ext cx="3422412" cy="369332"/>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Type A: Excitation @ B.P.F. only</a:t>
                                </a:r>
                                <a:endParaRPr lang="ko-KR" altLang="en-US" dirty="0"/>
                              </a:p>
                            </a:txBody>
                            <a:useSpRect/>
                          </a:txSp>
                        </a:sp>
                        <a:sp>
                          <a:nvSpPr>
                            <a:cNvPr id="77" name="TextBox 76"/>
                            <a:cNvSpPr txBox="1"/>
                          </a:nvSpPr>
                          <a:spPr>
                            <a:xfrm>
                              <a:off x="7572396" y="3214686"/>
                              <a:ext cx="4880760" cy="646331"/>
                            </a:xfrm>
                            <a:prstGeom prst="rect">
                              <a:avLst/>
                            </a:prstGeom>
                            <a:noFill/>
                          </a:spPr>
                          <a:txSp>
                            <a:txBody>
                              <a:bodyPr wrap="none" rtlCol="0">
                                <a:spAutoFit/>
                              </a:bodyPr>
                              <a:lstStyle>
                                <a:defPPr>
                                  <a:defRPr lang="ko-KR"/>
                                </a:defPPr>
                                <a:lvl1pPr marL="0" algn="l" defTabSz="914400" rtl="0" eaLnBrk="1" latinLnBrk="1" hangingPunct="1">
                                  <a:defRPr sz="1800" kern="1200">
                                    <a:solidFill>
                                      <a:schemeClr val="tx1"/>
                                    </a:solidFill>
                                    <a:latin typeface="+mn-lt"/>
                                    <a:ea typeface="+mn-ea"/>
                                    <a:cs typeface="+mn-cs"/>
                                  </a:defRPr>
                                </a:lvl1pPr>
                                <a:lvl2pPr marL="457200" algn="l" defTabSz="914400" rtl="0" eaLnBrk="1" latinLnBrk="1" hangingPunct="1">
                                  <a:defRPr sz="1800" kern="1200">
                                    <a:solidFill>
                                      <a:schemeClr val="tx1"/>
                                    </a:solidFill>
                                    <a:latin typeface="+mn-lt"/>
                                    <a:ea typeface="+mn-ea"/>
                                    <a:cs typeface="+mn-cs"/>
                                  </a:defRPr>
                                </a:lvl2pPr>
                                <a:lvl3pPr marL="914400" algn="l" defTabSz="914400" rtl="0" eaLnBrk="1" latinLnBrk="1" hangingPunct="1">
                                  <a:defRPr sz="1800" kern="1200">
                                    <a:solidFill>
                                      <a:schemeClr val="tx1"/>
                                    </a:solidFill>
                                    <a:latin typeface="+mn-lt"/>
                                    <a:ea typeface="+mn-ea"/>
                                    <a:cs typeface="+mn-cs"/>
                                  </a:defRPr>
                                </a:lvl3pPr>
                                <a:lvl4pPr marL="1371600" algn="l" defTabSz="914400" rtl="0" eaLnBrk="1" latinLnBrk="1" hangingPunct="1">
                                  <a:defRPr sz="1800" kern="1200">
                                    <a:solidFill>
                                      <a:schemeClr val="tx1"/>
                                    </a:solidFill>
                                    <a:latin typeface="+mn-lt"/>
                                    <a:ea typeface="+mn-ea"/>
                                    <a:cs typeface="+mn-cs"/>
                                  </a:defRPr>
                                </a:lvl4pPr>
                                <a:lvl5pPr marL="1828800" algn="l" defTabSz="914400" rtl="0" eaLnBrk="1" latinLnBrk="1" hangingPunct="1">
                                  <a:defRPr sz="1800" kern="1200">
                                    <a:solidFill>
                                      <a:schemeClr val="tx1"/>
                                    </a:solidFill>
                                    <a:latin typeface="+mn-lt"/>
                                    <a:ea typeface="+mn-ea"/>
                                    <a:cs typeface="+mn-cs"/>
                                  </a:defRPr>
                                </a:lvl5pPr>
                                <a:lvl6pPr marL="2286000" algn="l" defTabSz="914400" rtl="0" eaLnBrk="1" latinLnBrk="1" hangingPunct="1">
                                  <a:defRPr sz="1800" kern="1200">
                                    <a:solidFill>
                                      <a:schemeClr val="tx1"/>
                                    </a:solidFill>
                                    <a:latin typeface="+mn-lt"/>
                                    <a:ea typeface="+mn-ea"/>
                                    <a:cs typeface="+mn-cs"/>
                                  </a:defRPr>
                                </a:lvl6pPr>
                                <a:lvl7pPr marL="2743200" algn="l" defTabSz="914400" rtl="0" eaLnBrk="1" latinLnBrk="1" hangingPunct="1">
                                  <a:defRPr sz="1800" kern="1200">
                                    <a:solidFill>
                                      <a:schemeClr val="tx1"/>
                                    </a:solidFill>
                                    <a:latin typeface="+mn-lt"/>
                                    <a:ea typeface="+mn-ea"/>
                                    <a:cs typeface="+mn-cs"/>
                                  </a:defRPr>
                                </a:lvl7pPr>
                                <a:lvl8pPr marL="3200400" algn="l" defTabSz="914400" rtl="0" eaLnBrk="1" latinLnBrk="1" hangingPunct="1">
                                  <a:defRPr sz="1800" kern="1200">
                                    <a:solidFill>
                                      <a:schemeClr val="tx1"/>
                                    </a:solidFill>
                                    <a:latin typeface="+mn-lt"/>
                                    <a:ea typeface="+mn-ea"/>
                                    <a:cs typeface="+mn-cs"/>
                                  </a:defRPr>
                                </a:lvl8pPr>
                                <a:lvl9pPr marL="3657600" algn="l" defTabSz="914400" rtl="0" eaLnBrk="1" latinLnBrk="1" hangingPunct="1">
                                  <a:defRPr sz="1800" kern="1200">
                                    <a:solidFill>
                                      <a:schemeClr val="tx1"/>
                                    </a:solidFill>
                                    <a:latin typeface="+mn-lt"/>
                                    <a:ea typeface="+mn-ea"/>
                                    <a:cs typeface="+mn-cs"/>
                                  </a:defRPr>
                                </a:lvl9pPr>
                              </a:lstStyle>
                              <a:p>
                                <a:pPr algn="ctr"/>
                                <a:r>
                                  <a:rPr lang="en-US" altLang="ko-KR" dirty="0" smtClean="0"/>
                                  <a:t>Type B: Excitation @ B.P.F. &amp; Shaft frequency</a:t>
                                </a:r>
                              </a:p>
                              <a:p>
                                <a:pPr algn="ctr"/>
                                <a:r>
                                  <a:rPr lang="en-US" altLang="ko-KR" dirty="0" smtClean="0"/>
                                  <a:t>(alternate blade </a:t>
                                </a:r>
                                <a:r>
                                  <a:rPr lang="en-US" altLang="ko-KR" dirty="0" err="1" smtClean="0"/>
                                  <a:t>cavitation</a:t>
                                </a:r>
                                <a:r>
                                  <a:rPr lang="en-US" altLang="ko-KR" dirty="0" smtClean="0"/>
                                  <a:t>)</a:t>
                                </a:r>
                                <a:endParaRPr lang="ko-KR" altLang="en-US" dirty="0"/>
                              </a:p>
                            </a:txBody>
                            <a:useSpRect/>
                          </a:txSp>
                        </a:sp>
                      </lc:lockedCanvas>
                    </a:graphicData>
                  </a:graphic>
                </wp:inline>
              </w:drawing>
            </w:r>
          </w:p>
        </w:tc>
      </w:tr>
      <w:tr w:rsidR="007D469E" w:rsidTr="007D469E">
        <w:trPr>
          <w:jc w:val="center"/>
        </w:trPr>
        <w:tc>
          <w:tcPr>
            <w:tcW w:w="9245" w:type="dxa"/>
            <w:shd w:val="clear" w:color="auto" w:fill="auto"/>
          </w:tcPr>
          <w:p w:rsidR="007D469E" w:rsidRPr="007D469E" w:rsidRDefault="007D469E" w:rsidP="00B01C42">
            <w:pPr>
              <w:pStyle w:val="2"/>
              <w:ind w:firstLine="0"/>
              <w:jc w:val="center"/>
              <w:rPr>
                <w:rFonts w:hint="eastAsia"/>
                <w:b/>
                <w:lang w:eastAsia="ko-KR"/>
              </w:rPr>
            </w:pPr>
            <w:r w:rsidRPr="007D469E">
              <w:rPr>
                <w:b/>
              </w:rPr>
              <w:t xml:space="preserve">Figure 1. </w:t>
            </w:r>
            <w:r w:rsidR="00B01C42">
              <w:rPr>
                <w:rFonts w:hint="eastAsia"/>
                <w:b/>
                <w:lang w:eastAsia="ko-KR"/>
              </w:rPr>
              <w:t>Configuration of Instability Identifying Neural Network</w:t>
            </w:r>
          </w:p>
        </w:tc>
      </w:tr>
    </w:tbl>
    <w:p w:rsidR="007D1A84" w:rsidRDefault="007D1A84" w:rsidP="003118E1">
      <w:pPr>
        <w:pStyle w:val="2"/>
        <w:ind w:firstLine="0"/>
        <w:rPr>
          <w:rFonts w:hint="eastAsia"/>
          <w:lang w:eastAsia="ko-KR"/>
        </w:rPr>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1B" w:rsidRDefault="0002161B">
      <w:r>
        <w:separator/>
      </w:r>
    </w:p>
  </w:endnote>
  <w:endnote w:type="continuationSeparator" w:id="0">
    <w:p w:rsidR="0002161B" w:rsidRDefault="00021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9E" w:rsidRDefault="006B7691" w:rsidP="00C73411">
    <w:pPr>
      <w:pStyle w:val="a6"/>
      <w:jc w:val="right"/>
    </w:pPr>
    <w:r>
      <w:rPr>
        <w:rStyle w:val="a7"/>
      </w:rPr>
      <w:fldChar w:fldCharType="begin"/>
    </w:r>
    <w:r w:rsidR="007D469E">
      <w:rPr>
        <w:rStyle w:val="a7"/>
      </w:rPr>
      <w:instrText xml:space="preserve"> PAGE </w:instrText>
    </w:r>
    <w:r>
      <w:rPr>
        <w:rStyle w:val="a7"/>
      </w:rPr>
      <w:fldChar w:fldCharType="separate"/>
    </w:r>
    <w:r w:rsidR="003118E1">
      <w:rPr>
        <w:rStyle w:val="a7"/>
        <w:noProof/>
      </w:rPr>
      <w:t>1</w:t>
    </w:r>
    <w:r>
      <w:rPr>
        <w:rStyle w:val="a7"/>
      </w:rPr>
      <w:fldChar w:fldCharType="end"/>
    </w:r>
    <w:r w:rsidR="007D469E">
      <w:rPr>
        <w:rStyle w:val="a7"/>
      </w:rPr>
      <w:tab/>
    </w:r>
    <w:r w:rsidR="007D469E">
      <w:rPr>
        <w:rStyle w:val="a7"/>
      </w:rPr>
      <w:tab/>
    </w:r>
    <w:r w:rsidR="007D1A84">
      <w:rPr>
        <w:rStyle w:val="a7"/>
        <w:rFonts w:ascii="Arial" w:hAnsi="Arial" w:cs="Arial"/>
        <w:sz w:val="20"/>
        <w:lang w:val="en-US"/>
      </w:rPr>
      <w:t>Pisa</w:t>
    </w:r>
    <w:r w:rsidR="00067D57">
      <w:rPr>
        <w:rStyle w:val="a7"/>
        <w:rFonts w:ascii="Arial" w:hAnsi="Arial" w:cs="Arial"/>
        <w:sz w:val="20"/>
        <w:lang w:val="en-US"/>
      </w:rPr>
      <w:t xml:space="preserve">, </w:t>
    </w:r>
    <w:r w:rsidR="007D1A84">
      <w:rPr>
        <w:rStyle w:val="a7"/>
        <w:rFonts w:ascii="Arial" w:hAnsi="Arial" w:cs="Arial"/>
        <w:sz w:val="20"/>
        <w:lang w:val="en-US"/>
      </w:rPr>
      <w:t>Italy</w:t>
    </w:r>
    <w:r w:rsidR="0027233E">
      <w:rPr>
        <w:rStyle w:val="a7"/>
        <w:rFonts w:ascii="Arial" w:hAnsi="Arial" w:cs="Arial"/>
        <w:sz w:val="20"/>
      </w:rPr>
      <w:tab/>
    </w:r>
    <w:r w:rsidR="0027233E">
      <w:rPr>
        <w:rStyle w:val="a7"/>
        <w:rFonts w:ascii="Arial" w:hAnsi="Arial" w:cs="Arial"/>
        <w:sz w:val="20"/>
      </w:rPr>
      <w:tab/>
    </w:r>
    <w:r w:rsidR="003A2321">
      <w:rPr>
        <w:rStyle w:val="a7"/>
        <w:rFonts w:ascii="Arial" w:hAnsi="Arial" w:cs="Arial"/>
        <w:sz w:val="20"/>
      </w:rPr>
      <w:t>2</w:t>
    </w:r>
    <w:r w:rsidR="007D1A84">
      <w:rPr>
        <w:rStyle w:val="a7"/>
        <w:rFonts w:ascii="Arial" w:hAnsi="Arial" w:cs="Arial"/>
        <w:sz w:val="20"/>
      </w:rPr>
      <w:t>8</w:t>
    </w:r>
    <w:r w:rsidR="00067D57">
      <w:rPr>
        <w:rStyle w:val="a7"/>
        <w:rFonts w:ascii="Arial" w:hAnsi="Arial" w:cs="Arial"/>
        <w:sz w:val="20"/>
      </w:rPr>
      <w:t xml:space="preserve"> – </w:t>
    </w:r>
    <w:r w:rsidR="007D1A84">
      <w:rPr>
        <w:rStyle w:val="a7"/>
        <w:rFonts w:ascii="Arial" w:hAnsi="Arial" w:cs="Arial"/>
        <w:sz w:val="20"/>
      </w:rPr>
      <w:t>30</w:t>
    </w:r>
    <w:r w:rsidR="00067D57">
      <w:rPr>
        <w:rStyle w:val="a7"/>
        <w:rFonts w:ascii="Arial" w:hAnsi="Arial" w:cs="Arial"/>
        <w:sz w:val="20"/>
      </w:rPr>
      <w:t xml:space="preserve"> September</w:t>
    </w:r>
    <w:r w:rsidR="007D469E">
      <w:rPr>
        <w:rStyle w:val="a7"/>
        <w:rFonts w:ascii="Arial" w:hAnsi="Arial" w:cs="Arial"/>
        <w:sz w:val="20"/>
      </w:rPr>
      <w:t xml:space="preserve"> 20</w:t>
    </w:r>
    <w:r w:rsidR="00067D57">
      <w:rPr>
        <w:rStyle w:val="a7"/>
        <w:rFonts w:ascii="Arial" w:hAnsi="Arial" w:cs="Arial"/>
        <w:sz w:val="20"/>
      </w:rPr>
      <w:t>2</w:t>
    </w:r>
    <w:r w:rsidR="007D1A84">
      <w:rPr>
        <w:rStyle w:val="a7"/>
        <w:rFonts w:ascii="Arial" w:hAnsi="Arial" w:cs="Arial"/>
        <w:sz w:val="20"/>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9E" w:rsidRDefault="006B7691" w:rsidP="007D1A84">
    <w:pPr>
      <w:pStyle w:val="a6"/>
      <w:jc w:val="right"/>
    </w:pPr>
    <w:r>
      <w:rPr>
        <w:rStyle w:val="a7"/>
      </w:rPr>
      <w:fldChar w:fldCharType="begin"/>
    </w:r>
    <w:r w:rsidR="007D469E">
      <w:rPr>
        <w:rStyle w:val="a7"/>
      </w:rPr>
      <w:instrText xml:space="preserve"> PAGE </w:instrText>
    </w:r>
    <w:r>
      <w:rPr>
        <w:rStyle w:val="a7"/>
      </w:rPr>
      <w:fldChar w:fldCharType="separate"/>
    </w:r>
    <w:r w:rsidR="003118E1">
      <w:rPr>
        <w:rStyle w:val="a7"/>
        <w:noProof/>
      </w:rPr>
      <w:t>2</w:t>
    </w:r>
    <w:r>
      <w:rPr>
        <w:rStyle w:val="a7"/>
      </w:rPr>
      <w:fldChar w:fldCharType="end"/>
    </w:r>
    <w:r w:rsidR="007D469E">
      <w:rPr>
        <w:rStyle w:val="a7"/>
      </w:rPr>
      <w:tab/>
    </w:r>
    <w:r w:rsidR="007D469E">
      <w:rPr>
        <w:rStyle w:val="a7"/>
      </w:rPr>
      <w:tab/>
    </w:r>
    <w:r w:rsidR="007D1A84">
      <w:rPr>
        <w:rStyle w:val="a7"/>
        <w:rFonts w:ascii="Arial" w:hAnsi="Arial" w:cs="Arial"/>
        <w:sz w:val="20"/>
        <w:lang w:val="en-US"/>
      </w:rPr>
      <w:t>Pisa, Italy</w:t>
    </w:r>
    <w:r w:rsidR="007D1A84">
      <w:rPr>
        <w:rStyle w:val="a7"/>
        <w:rFonts w:ascii="Arial" w:hAnsi="Arial" w:cs="Arial"/>
        <w:sz w:val="20"/>
      </w:rPr>
      <w:tab/>
    </w:r>
    <w:r w:rsidR="007D1A84">
      <w:rPr>
        <w:rStyle w:val="a7"/>
        <w:rFonts w:ascii="Arial" w:hAnsi="Arial" w:cs="Arial"/>
        <w:sz w:val="20"/>
      </w:rPr>
      <w:tab/>
      <w:t>28 – 30 September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1B" w:rsidRDefault="0002161B">
      <w:r>
        <w:separator/>
      </w:r>
    </w:p>
  </w:footnote>
  <w:footnote w:type="continuationSeparator" w:id="0">
    <w:p w:rsidR="0002161B" w:rsidRDefault="00021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4BE" w:rsidRDefault="00D824BE" w:rsidP="007D469E">
    <w:pPr>
      <w:pStyle w:val="a5"/>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rsidR="007D469E" w:rsidRDefault="007D469E" w:rsidP="007D469E">
    <w:pPr>
      <w:pStyle w:val="a5"/>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A84" w:rsidRDefault="007D1A84" w:rsidP="007D1A84">
    <w:pPr>
      <w:pStyle w:val="a5"/>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rsidR="007D1A84" w:rsidRDefault="007D1A84" w:rsidP="007D1A84">
    <w:pPr>
      <w:pStyle w:val="a5"/>
      <w:jc w:val="right"/>
      <w:rPr>
        <w:rFonts w:ascii="Arial" w:hAnsi="Arial" w:cs="Arial"/>
        <w:sz w:val="20"/>
      </w:rPr>
    </w:pPr>
    <w:r>
      <w:rPr>
        <w:rFonts w:ascii="Arial" w:hAnsi="Arial" w:cs="Arial"/>
        <w:sz w:val="20"/>
      </w:rPr>
      <w:t>Transonic and Supersonic Flow in Cascades and Turbomachines</w:t>
    </w:r>
  </w:p>
  <w:p w:rsidR="007D469E" w:rsidRPr="007D1A84" w:rsidRDefault="007D469E" w:rsidP="007D1A8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283"/>
  <w:noPunctuationKerning/>
  <w:characterSpacingControl w:val="doNotCompress"/>
  <w:hdrShapeDefaults>
    <o:shapedefaults v:ext="edit" spidmax="7170"/>
  </w:hdrShapeDefaults>
  <w:footnotePr>
    <w:footnote w:id="-1"/>
    <w:footnote w:id="0"/>
  </w:footnotePr>
  <w:endnotePr>
    <w:endnote w:id="-1"/>
    <w:endnote w:id="0"/>
  </w:endnotePr>
  <w:compat>
    <w:useFELayout/>
  </w:compat>
  <w:rsids>
    <w:rsidRoot w:val="007A6153"/>
    <w:rsid w:val="0002161B"/>
    <w:rsid w:val="00040C05"/>
    <w:rsid w:val="00067D57"/>
    <w:rsid w:val="00113C8A"/>
    <w:rsid w:val="00137880"/>
    <w:rsid w:val="0027233E"/>
    <w:rsid w:val="003118E1"/>
    <w:rsid w:val="00330BF8"/>
    <w:rsid w:val="00333646"/>
    <w:rsid w:val="003A2321"/>
    <w:rsid w:val="003D5D56"/>
    <w:rsid w:val="00404301"/>
    <w:rsid w:val="00562188"/>
    <w:rsid w:val="00570BA1"/>
    <w:rsid w:val="006211FC"/>
    <w:rsid w:val="006B7691"/>
    <w:rsid w:val="00752DA1"/>
    <w:rsid w:val="00791559"/>
    <w:rsid w:val="007950EA"/>
    <w:rsid w:val="007A6153"/>
    <w:rsid w:val="007D1A84"/>
    <w:rsid w:val="007D469E"/>
    <w:rsid w:val="008D76C5"/>
    <w:rsid w:val="008F5DA3"/>
    <w:rsid w:val="00903B53"/>
    <w:rsid w:val="00930D6E"/>
    <w:rsid w:val="00931635"/>
    <w:rsid w:val="009F585A"/>
    <w:rsid w:val="00B01C42"/>
    <w:rsid w:val="00B47D74"/>
    <w:rsid w:val="00B962DF"/>
    <w:rsid w:val="00BF32E0"/>
    <w:rsid w:val="00C73411"/>
    <w:rsid w:val="00CF348E"/>
    <w:rsid w:val="00D13B06"/>
    <w:rsid w:val="00D66CB4"/>
    <w:rsid w:val="00D824BE"/>
    <w:rsid w:val="00DD22E9"/>
    <w:rsid w:val="00E2302F"/>
    <w:rsid w:val="00F17A0D"/>
    <w:rsid w:val="00FA059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91"/>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Table of Tables"/>
    <w:basedOn w:val="a"/>
    <w:next w:val="a"/>
    <w:semiHidden/>
    <w:rsid w:val="006B7691"/>
    <w:pPr>
      <w:ind w:left="480" w:hanging="480"/>
      <w:jc w:val="both"/>
    </w:pPr>
    <w:rPr>
      <w:sz w:val="24"/>
      <w:szCs w:val="20"/>
      <w:lang w:val="en-GB"/>
    </w:rPr>
  </w:style>
  <w:style w:type="paragraph" w:customStyle="1" w:styleId="AbstractClauseTitle">
    <w:name w:val="Abstract Clause Title"/>
    <w:basedOn w:val="a"/>
    <w:next w:val="2"/>
    <w:rsid w:val="006B7691"/>
    <w:pPr>
      <w:keepNext/>
      <w:suppressAutoHyphens/>
      <w:overflowPunct w:val="0"/>
      <w:autoSpaceDE w:val="0"/>
      <w:autoSpaceDN w:val="0"/>
      <w:adjustRightInd w:val="0"/>
      <w:jc w:val="both"/>
      <w:textAlignment w:val="baseline"/>
    </w:pPr>
    <w:rPr>
      <w:b/>
      <w:caps/>
      <w:kern w:val="14"/>
      <w:szCs w:val="20"/>
    </w:rPr>
  </w:style>
  <w:style w:type="paragraph" w:styleId="2">
    <w:name w:val="Body Text 2"/>
    <w:basedOn w:val="a"/>
    <w:rsid w:val="006B7691"/>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a"/>
    <w:next w:val="2"/>
    <w:rsid w:val="006B7691"/>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a"/>
    <w:next w:val="2"/>
    <w:rsid w:val="006B7691"/>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a"/>
    <w:next w:val="2"/>
    <w:rsid w:val="006B7691"/>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a"/>
    <w:rsid w:val="006B7691"/>
    <w:pPr>
      <w:suppressAutoHyphens/>
      <w:overflowPunct w:val="0"/>
      <w:autoSpaceDE w:val="0"/>
      <w:autoSpaceDN w:val="0"/>
      <w:adjustRightInd w:val="0"/>
      <w:jc w:val="center"/>
      <w:textAlignment w:val="baseline"/>
    </w:pPr>
    <w:rPr>
      <w:kern w:val="14"/>
      <w:szCs w:val="20"/>
    </w:rPr>
  </w:style>
  <w:style w:type="paragraph" w:styleId="a4">
    <w:name w:val="Title"/>
    <w:basedOn w:val="a"/>
    <w:qFormat/>
    <w:rsid w:val="006B7691"/>
    <w:pPr>
      <w:suppressAutoHyphens/>
      <w:overflowPunct w:val="0"/>
      <w:autoSpaceDE w:val="0"/>
      <w:autoSpaceDN w:val="0"/>
      <w:adjustRightInd w:val="0"/>
      <w:spacing w:before="760"/>
      <w:jc w:val="center"/>
      <w:textAlignment w:val="baseline"/>
    </w:pPr>
    <w:rPr>
      <w:b/>
      <w:caps/>
      <w:kern w:val="14"/>
      <w:sz w:val="24"/>
      <w:szCs w:val="20"/>
    </w:rPr>
  </w:style>
  <w:style w:type="paragraph" w:styleId="a5">
    <w:name w:val="header"/>
    <w:basedOn w:val="a"/>
    <w:link w:val="Char"/>
    <w:rsid w:val="006B7691"/>
    <w:pPr>
      <w:tabs>
        <w:tab w:val="center" w:pos="4320"/>
        <w:tab w:val="right" w:pos="8640"/>
      </w:tabs>
    </w:pPr>
    <w:rPr>
      <w:rFonts w:ascii="Times New Roman" w:hAnsi="Times New Roman"/>
      <w:sz w:val="24"/>
      <w:lang w:val="en-GB"/>
    </w:rPr>
  </w:style>
  <w:style w:type="paragraph" w:styleId="a6">
    <w:name w:val="footer"/>
    <w:basedOn w:val="a"/>
    <w:link w:val="Char0"/>
    <w:rsid w:val="006B7691"/>
    <w:pPr>
      <w:tabs>
        <w:tab w:val="center" w:pos="4320"/>
        <w:tab w:val="right" w:pos="8640"/>
      </w:tabs>
    </w:pPr>
    <w:rPr>
      <w:rFonts w:ascii="Times New Roman" w:hAnsi="Times New Roman"/>
      <w:sz w:val="24"/>
      <w:lang w:val="en-GB"/>
    </w:rPr>
  </w:style>
  <w:style w:type="character" w:styleId="a7">
    <w:name w:val="page number"/>
    <w:basedOn w:val="a0"/>
    <w:rsid w:val="006B7691"/>
  </w:style>
  <w:style w:type="table" w:styleId="a8">
    <w:name w:val="Table Grid"/>
    <w:basedOn w:val="a1"/>
    <w:rsid w:val="00906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머리글 Char"/>
    <w:basedOn w:val="a0"/>
    <w:link w:val="a5"/>
    <w:rsid w:val="007D1A84"/>
    <w:rPr>
      <w:sz w:val="24"/>
      <w:szCs w:val="24"/>
      <w:lang w:val="en-GB"/>
    </w:rPr>
  </w:style>
  <w:style w:type="character" w:customStyle="1" w:styleId="Char0">
    <w:name w:val="바닥글 Char"/>
    <w:basedOn w:val="a0"/>
    <w:link w:val="a6"/>
    <w:rsid w:val="007D1A84"/>
    <w:rPr>
      <w:sz w:val="24"/>
      <w:szCs w:val="24"/>
      <w:lang w:val="en-GB"/>
    </w:rPr>
  </w:style>
  <w:style w:type="paragraph" w:styleId="a9">
    <w:name w:val="Balloon Text"/>
    <w:basedOn w:val="a"/>
    <w:link w:val="Char1"/>
    <w:uiPriority w:val="99"/>
    <w:semiHidden/>
    <w:unhideWhenUsed/>
    <w:rsid w:val="00B01C42"/>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B01C4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650</Words>
  <Characters>3705</Characters>
  <Application>Microsoft Office Word</Application>
  <DocSecurity>0</DocSecurity>
  <Lines>30</Lines>
  <Paragraphs>8</Paragraphs>
  <ScaleCrop>false</ScaleCrop>
  <HeadingPairs>
    <vt:vector size="6" baseType="variant">
      <vt:variant>
        <vt:lpstr>제목</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UESR</cp:lastModifiedBy>
  <cp:revision>3</cp:revision>
  <dcterms:created xsi:type="dcterms:W3CDTF">2022-03-08T23:04:00Z</dcterms:created>
  <dcterms:modified xsi:type="dcterms:W3CDTF">2022-05-27T16:17:00Z</dcterms:modified>
</cp:coreProperties>
</file>