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BAF7" w14:textId="7BBB1B02" w:rsidR="007D469E" w:rsidRPr="00166E72" w:rsidRDefault="0021067C">
      <w:pPr>
        <w:pStyle w:val="Title"/>
        <w:rPr>
          <w:lang w:val="en-GB"/>
        </w:rPr>
      </w:pPr>
      <w:r w:rsidRPr="00166E72">
        <w:rPr>
          <w:lang w:val="en-GB"/>
        </w:rPr>
        <w:t>Infrared thermography techniques for boundary layer state visualisation</w:t>
      </w:r>
    </w:p>
    <w:p w14:paraId="160C5F8A" w14:textId="77777777" w:rsidR="007D469E" w:rsidRPr="00166E72" w:rsidRDefault="007D469E">
      <w:pPr>
        <w:rPr>
          <w:lang w:val="en-GB"/>
        </w:rPr>
      </w:pPr>
    </w:p>
    <w:p w14:paraId="73B9E162" w14:textId="77777777" w:rsidR="007D469E" w:rsidRPr="00166E72" w:rsidRDefault="007D469E">
      <w:pPr>
        <w:rPr>
          <w:lang w:val="en-GB"/>
        </w:rPr>
      </w:pPr>
    </w:p>
    <w:tbl>
      <w:tblPr>
        <w:tblW w:w="468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</w:tblGrid>
      <w:tr w:rsidR="0021067C" w:rsidRPr="00166E72" w14:paraId="5C7E3CA7" w14:textId="77777777" w:rsidTr="0021067C">
        <w:trPr>
          <w:jc w:val="center"/>
        </w:trPr>
        <w:tc>
          <w:tcPr>
            <w:tcW w:w="4680" w:type="dxa"/>
          </w:tcPr>
          <w:p w14:paraId="66F3E5E4" w14:textId="227FDB00" w:rsidR="0021067C" w:rsidRPr="00166E72" w:rsidRDefault="0021067C">
            <w:pPr>
              <w:pStyle w:val="Affiliation"/>
              <w:rPr>
                <w:lang w:val="en-GB"/>
              </w:rPr>
            </w:pPr>
            <w:r w:rsidRPr="00166E72">
              <w:rPr>
                <w:lang w:val="en-GB"/>
              </w:rPr>
              <w:t>William Davis, Nick Atkins</w:t>
            </w:r>
          </w:p>
          <w:p w14:paraId="3D086BE8" w14:textId="7DD72537" w:rsidR="0021067C" w:rsidRPr="00166E72" w:rsidRDefault="0021067C">
            <w:pPr>
              <w:pStyle w:val="Affiliation"/>
              <w:rPr>
                <w:lang w:val="en-GB"/>
              </w:rPr>
            </w:pPr>
            <w:r w:rsidRPr="00166E72">
              <w:rPr>
                <w:lang w:val="en-GB"/>
              </w:rPr>
              <w:t>University of Cambridge</w:t>
            </w:r>
          </w:p>
          <w:p w14:paraId="07206E23" w14:textId="77777777" w:rsidR="0021067C" w:rsidRPr="00166E72" w:rsidRDefault="0021067C">
            <w:pPr>
              <w:pStyle w:val="Affiliation"/>
              <w:rPr>
                <w:lang w:val="en-GB"/>
              </w:rPr>
            </w:pPr>
          </w:p>
        </w:tc>
      </w:tr>
    </w:tbl>
    <w:p w14:paraId="71E9C335" w14:textId="77777777" w:rsidR="007D469E" w:rsidRPr="00166E72" w:rsidRDefault="007D469E">
      <w:pPr>
        <w:pStyle w:val="AbstractClauseTitle"/>
        <w:rPr>
          <w:lang w:val="en-GB"/>
        </w:rPr>
        <w:sectPr w:rsidR="007D469E" w:rsidRPr="00166E72">
          <w:headerReference w:type="default" r:id="rId7"/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CFEF773" w14:textId="77777777" w:rsidR="007D469E" w:rsidRPr="00166E72" w:rsidRDefault="007D469E">
      <w:pPr>
        <w:pStyle w:val="AbstractClauseTitle"/>
        <w:rPr>
          <w:lang w:val="en-GB"/>
        </w:rPr>
        <w:sectPr w:rsidR="007D469E" w:rsidRPr="00166E72">
          <w:headerReference w:type="default" r:id="rId9"/>
          <w:footerReference w:type="default" r:id="rId10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5C28013" w14:textId="17572773" w:rsidR="0021067C" w:rsidRPr="00166E72" w:rsidRDefault="007D469E" w:rsidP="00E2198B">
      <w:pPr>
        <w:pStyle w:val="AbstractClauseTitle"/>
        <w:rPr>
          <w:lang w:val="en-GB"/>
        </w:rPr>
      </w:pPr>
      <w:r w:rsidRPr="00166E72">
        <w:rPr>
          <w:lang w:val="en-GB"/>
        </w:rPr>
        <w:t>Abstract</w:t>
      </w:r>
    </w:p>
    <w:p w14:paraId="2F1CEC58" w14:textId="71C649CE" w:rsidR="0021067C" w:rsidRPr="00166E72" w:rsidRDefault="00166E72">
      <w:pPr>
        <w:pStyle w:val="BodyText2"/>
        <w:rPr>
          <w:lang w:val="en-GB"/>
        </w:rPr>
      </w:pPr>
      <w:r>
        <w:rPr>
          <w:lang w:val="en-GB"/>
        </w:rPr>
        <w:t xml:space="preserve"> </w:t>
      </w:r>
      <w:r w:rsidR="00F55652">
        <w:rPr>
          <w:lang w:val="en-GB"/>
        </w:rPr>
        <w:t xml:space="preserve">Infrared </w:t>
      </w:r>
      <w:r>
        <w:rPr>
          <w:lang w:val="en-GB"/>
        </w:rPr>
        <w:t xml:space="preserve">(IR) thermography has found wide use in aerothermal research due to its ability to </w:t>
      </w:r>
      <w:r w:rsidR="001311E8">
        <w:rPr>
          <w:lang w:val="en-GB"/>
        </w:rPr>
        <w:t>measure full field surface temperatures in a wide range of c</w:t>
      </w:r>
      <w:r w:rsidR="00521EA9">
        <w:rPr>
          <w:lang w:val="en-GB"/>
        </w:rPr>
        <w:t>o</w:t>
      </w:r>
      <w:r w:rsidR="001311E8">
        <w:rPr>
          <w:lang w:val="en-GB"/>
        </w:rPr>
        <w:t xml:space="preserve">nditions. IR </w:t>
      </w:r>
      <w:r w:rsidR="005D555C">
        <w:rPr>
          <w:lang w:val="en-GB"/>
        </w:rPr>
        <w:t xml:space="preserve">measurements </w:t>
      </w:r>
      <w:r w:rsidR="002E26BE">
        <w:rPr>
          <w:lang w:val="en-GB"/>
        </w:rPr>
        <w:t xml:space="preserve">of the boundary layer state have been demonstrated in many experiments, however there is little information available on </w:t>
      </w:r>
      <w:r w:rsidR="00BE63FD">
        <w:rPr>
          <w:lang w:val="en-GB"/>
        </w:rPr>
        <w:t xml:space="preserve">the best practices </w:t>
      </w:r>
      <w:r w:rsidR="00850BEA">
        <w:rPr>
          <w:lang w:val="en-GB"/>
        </w:rPr>
        <w:t xml:space="preserve">that will ensure measurements are as fast and accurate as possible. </w:t>
      </w:r>
      <w:r w:rsidR="001516E8">
        <w:rPr>
          <w:lang w:val="en-GB"/>
        </w:rPr>
        <w:t xml:space="preserve">IR transition </w:t>
      </w:r>
      <w:r w:rsidR="008057EF">
        <w:rPr>
          <w:lang w:val="en-GB"/>
        </w:rPr>
        <w:t xml:space="preserve">measurements rely on temperature differences </w:t>
      </w:r>
      <w:r w:rsidR="00120899">
        <w:rPr>
          <w:lang w:val="en-GB"/>
        </w:rPr>
        <w:t>between laminar and turbulent regimes</w:t>
      </w:r>
      <w:r w:rsidR="00FF0B21">
        <w:rPr>
          <w:lang w:val="en-GB"/>
        </w:rPr>
        <w:t xml:space="preserve">, which </w:t>
      </w:r>
      <w:r w:rsidR="00DB7BB4">
        <w:rPr>
          <w:lang w:val="en-GB"/>
        </w:rPr>
        <w:t xml:space="preserve">are dependent </w:t>
      </w:r>
      <w:r w:rsidR="00FF0B21">
        <w:rPr>
          <w:lang w:val="en-GB"/>
        </w:rPr>
        <w:t>on</w:t>
      </w:r>
      <w:r w:rsidR="00DB7BB4">
        <w:rPr>
          <w:lang w:val="en-GB"/>
        </w:rPr>
        <w:t xml:space="preserve"> </w:t>
      </w:r>
      <w:r w:rsidR="00FF0B21">
        <w:rPr>
          <w:lang w:val="en-GB"/>
        </w:rPr>
        <w:t xml:space="preserve">the thermal characteristics </w:t>
      </w:r>
      <w:r w:rsidR="009C5B36">
        <w:rPr>
          <w:lang w:val="en-GB"/>
        </w:rPr>
        <w:t xml:space="preserve">of the system. </w:t>
      </w:r>
      <w:r w:rsidR="002F372E">
        <w:rPr>
          <w:lang w:val="en-GB"/>
        </w:rPr>
        <w:t>This paper shows how a one-dimensional heat transfer analysis can be used to maximise the Signal-to-Noise-Ratio (SNR) of IR measurements in low and high</w:t>
      </w:r>
      <w:r w:rsidR="00F82AA5">
        <w:rPr>
          <w:lang w:val="en-GB"/>
        </w:rPr>
        <w:t>-</w:t>
      </w:r>
      <w:r w:rsidR="002F372E">
        <w:rPr>
          <w:lang w:val="en-GB"/>
        </w:rPr>
        <w:t>speed testing. This can improve the quality of measurements and minimise their complexity, effort and/</w:t>
      </w:r>
      <w:r w:rsidR="00F82AA5">
        <w:rPr>
          <w:lang w:val="en-GB"/>
        </w:rPr>
        <w:t>o</w:t>
      </w:r>
      <w:r w:rsidR="002F372E">
        <w:rPr>
          <w:lang w:val="en-GB"/>
        </w:rPr>
        <w:t xml:space="preserve">r intrusion on the flow. </w:t>
      </w:r>
      <w:r w:rsidR="00F82AA5">
        <w:rPr>
          <w:lang w:val="en-GB"/>
        </w:rPr>
        <w:t xml:space="preserve">Experimental work will be used to validate the analysis and demonstrate the use of IR for rapid testing. </w:t>
      </w:r>
    </w:p>
    <w:p w14:paraId="0151206C" w14:textId="77777777" w:rsidR="007D469E" w:rsidRPr="00166E72" w:rsidRDefault="007D469E">
      <w:pPr>
        <w:pStyle w:val="BodyText2"/>
        <w:rPr>
          <w:lang w:val="en-GB"/>
        </w:rPr>
      </w:pPr>
    </w:p>
    <w:p w14:paraId="205582DD" w14:textId="77777777" w:rsidR="007D469E" w:rsidRPr="00166E72" w:rsidRDefault="007D469E">
      <w:pPr>
        <w:pStyle w:val="AbstractClauseTitle"/>
        <w:rPr>
          <w:lang w:val="en-GB"/>
        </w:rPr>
      </w:pPr>
      <w:r w:rsidRPr="00166E72">
        <w:rPr>
          <w:lang w:val="en-GB"/>
        </w:rPr>
        <w:t>introduction</w:t>
      </w:r>
    </w:p>
    <w:p w14:paraId="36A1A8F3" w14:textId="77777777" w:rsidR="006C5315" w:rsidRDefault="00F55652">
      <w:pPr>
        <w:pStyle w:val="BodyText2"/>
        <w:rPr>
          <w:lang w:val="en-GB"/>
        </w:rPr>
      </w:pPr>
      <w:r w:rsidRPr="00166E72">
        <w:rPr>
          <w:lang w:val="en-GB"/>
        </w:rPr>
        <w:t xml:space="preserve">The rapid decarbonisation </w:t>
      </w:r>
      <w:r>
        <w:rPr>
          <w:lang w:val="en-GB"/>
        </w:rPr>
        <w:t>needed for power generation and aviation to have sustainable futures requires step change</w:t>
      </w:r>
      <w:r w:rsidR="00FE1B8A">
        <w:rPr>
          <w:lang w:val="en-GB"/>
        </w:rPr>
        <w:t>s</w:t>
      </w:r>
      <w:r>
        <w:rPr>
          <w:lang w:val="en-GB"/>
        </w:rPr>
        <w:t xml:space="preserve"> in aerothermal technology. When working in large design spaces the state of the boundary layer and its resulting loss characteristics are difficult to predict. Standard measurement techniques such as thin-film gauges and oil flow visualisation are intrusive and time consuming, so there is a need for </w:t>
      </w:r>
      <w:r w:rsidR="006751E7">
        <w:rPr>
          <w:lang w:val="en-GB"/>
        </w:rPr>
        <w:t>improved</w:t>
      </w:r>
      <w:r>
        <w:rPr>
          <w:lang w:val="en-GB"/>
        </w:rPr>
        <w:t xml:space="preserve"> testing methods to diagnose changes and develop physical understanding. </w:t>
      </w:r>
    </w:p>
    <w:p w14:paraId="0B8A1189" w14:textId="6360CBE9" w:rsidR="007D469E" w:rsidRPr="00166E72" w:rsidRDefault="00FE1B8A">
      <w:pPr>
        <w:pStyle w:val="BodyText2"/>
        <w:rPr>
          <w:lang w:val="en-GB"/>
        </w:rPr>
      </w:pPr>
      <w:r>
        <w:rPr>
          <w:lang w:val="en-GB"/>
        </w:rPr>
        <w:t xml:space="preserve">This paper demonstrates the use of well-conditioned infrared thermography as a method for </w:t>
      </w:r>
      <w:r w:rsidR="006751E7">
        <w:rPr>
          <w:lang w:val="en-GB"/>
        </w:rPr>
        <w:t xml:space="preserve">rapid </w:t>
      </w:r>
      <w:r>
        <w:rPr>
          <w:lang w:val="en-GB"/>
        </w:rPr>
        <w:t>diagnos</w:t>
      </w:r>
      <w:r w:rsidR="006751E7">
        <w:rPr>
          <w:lang w:val="en-GB"/>
        </w:rPr>
        <w:t>is of</w:t>
      </w:r>
      <w:r>
        <w:rPr>
          <w:lang w:val="en-GB"/>
        </w:rPr>
        <w:t xml:space="preserve"> boundary layer </w:t>
      </w:r>
      <w:r w:rsidR="00722F70">
        <w:rPr>
          <w:lang w:val="en-GB"/>
        </w:rPr>
        <w:t>transition and separation</w:t>
      </w:r>
      <w:r w:rsidR="009E5645">
        <w:rPr>
          <w:lang w:val="en-GB"/>
        </w:rPr>
        <w:t xml:space="preserve">. </w:t>
      </w:r>
      <w:r w:rsidR="000B7237">
        <w:rPr>
          <w:lang w:val="en-GB"/>
        </w:rPr>
        <w:t>Low</w:t>
      </w:r>
      <w:r w:rsidR="005B17A4">
        <w:rPr>
          <w:lang w:val="en-GB"/>
        </w:rPr>
        <w:t>-</w:t>
      </w:r>
      <w:r w:rsidR="000B7237">
        <w:rPr>
          <w:lang w:val="en-GB"/>
        </w:rPr>
        <w:t xml:space="preserve">speed flows require active heating, either at a steady state or transiently by pre-heating. High speed flows can utilise differences in recovery temperature between boundary layer states but may have structural limitations that fix the thermal properties of a test piece. </w:t>
      </w:r>
      <w:r w:rsidR="006C5315">
        <w:rPr>
          <w:lang w:val="en-GB"/>
        </w:rPr>
        <w:t xml:space="preserve">Experimental and computational analyses are carried out to determine best practice in </w:t>
      </w:r>
      <w:r w:rsidR="00B97726">
        <w:rPr>
          <w:lang w:val="en-GB"/>
        </w:rPr>
        <w:t>both regimes</w:t>
      </w:r>
      <w:r w:rsidR="00E12A0D">
        <w:rPr>
          <w:lang w:val="en-GB"/>
        </w:rPr>
        <w:t>. Examples of the capabilities of IR are shown and the limitations of the method disc</w:t>
      </w:r>
      <w:r w:rsidR="00BE6E4F">
        <w:rPr>
          <w:lang w:val="en-GB"/>
        </w:rPr>
        <w:t>u</w:t>
      </w:r>
      <w:r w:rsidR="00E12A0D">
        <w:rPr>
          <w:lang w:val="en-GB"/>
        </w:rPr>
        <w:t>ssed.</w:t>
      </w:r>
    </w:p>
    <w:p w14:paraId="4ACF6B0E" w14:textId="77777777" w:rsidR="007D469E" w:rsidRPr="00166E72" w:rsidRDefault="007D469E" w:rsidP="007D469E">
      <w:pPr>
        <w:pStyle w:val="NomenclatureClauseTitle"/>
        <w:rPr>
          <w:lang w:val="en-GB"/>
        </w:rPr>
      </w:pPr>
      <w:r w:rsidRPr="00166E72">
        <w:rPr>
          <w:lang w:val="en-GB"/>
        </w:rPr>
        <w:t>RESULTS and DISCUSSION</w:t>
      </w:r>
    </w:p>
    <w:p w14:paraId="5BF56C33" w14:textId="2B416D77" w:rsidR="007D469E" w:rsidRDefault="0094246A" w:rsidP="002F6F30">
      <w:pPr>
        <w:pStyle w:val="BodyText2"/>
        <w:rPr>
          <w:lang w:val="en-GB"/>
        </w:rPr>
      </w:pPr>
      <w:r>
        <w:rPr>
          <w:lang w:val="en-GB"/>
        </w:rPr>
        <w:t xml:space="preserve">A one-dimensional heat transfer analysis </w:t>
      </w:r>
      <w:r w:rsidR="002F6F30">
        <w:rPr>
          <w:lang w:val="en-GB"/>
        </w:rPr>
        <w:t>o</w:t>
      </w:r>
      <w:r w:rsidR="005B17A4">
        <w:rPr>
          <w:lang w:val="en-GB"/>
        </w:rPr>
        <w:t xml:space="preserve">n the low-speed </w:t>
      </w:r>
      <w:r w:rsidR="00DF0AF2">
        <w:rPr>
          <w:lang w:val="en-GB"/>
        </w:rPr>
        <w:t>case shows that there is an optimal level of insulation between the heat source and flow that maximises the measured temperature difference between laminar and turbulent regions.</w:t>
      </w:r>
      <w:r w:rsidR="007D469E" w:rsidRPr="00166E72">
        <w:rPr>
          <w:lang w:val="en-GB"/>
        </w:rPr>
        <w:t xml:space="preserve"> </w:t>
      </w:r>
      <w:r w:rsidR="002F6F30">
        <w:rPr>
          <w:lang w:val="en-GB"/>
        </w:rPr>
        <w:t xml:space="preserve">This is tested on a heated aerofoil </w:t>
      </w:r>
      <w:bookmarkStart w:id="0" w:name="_GoBack"/>
      <w:bookmarkEnd w:id="0"/>
      <w:r w:rsidR="002F6F30">
        <w:rPr>
          <w:lang w:val="en-GB"/>
        </w:rPr>
        <w:t>with varying insulator thickness over a range of incidences and Reynolds numbers. Experimental results are compared to theory in Fig. 1</w:t>
      </w:r>
      <w:r w:rsidR="00C95CDF">
        <w:rPr>
          <w:lang w:val="en-GB"/>
        </w:rPr>
        <w:t>(a)</w:t>
      </w:r>
      <w:r w:rsidR="002F6F30">
        <w:rPr>
          <w:lang w:val="en-GB"/>
        </w:rPr>
        <w:t xml:space="preserve">, which shows that the experiment validates theory and that a well-conditioned IR experiment requires sufficient insulation to balance the temperature drop between the boundary layer and insulator. </w:t>
      </w:r>
      <w:r w:rsidR="0035031F">
        <w:rPr>
          <w:lang w:val="en-GB"/>
        </w:rPr>
        <w:t>The use of IR for rapid testing is demonstrated in Fig. 1(b), which shows how</w:t>
      </w:r>
      <w:r w:rsidR="002D4266">
        <w:rPr>
          <w:lang w:val="en-GB"/>
        </w:rPr>
        <w:t xml:space="preserve"> a transitional laminar separation bubble </w:t>
      </w:r>
      <w:r w:rsidR="0035031F">
        <w:rPr>
          <w:lang w:val="en-GB"/>
        </w:rPr>
        <w:t>advances on a NACA 0018 aerofoil as the flow incidence is changed</w:t>
      </w:r>
      <w:r w:rsidR="00E815E1">
        <w:rPr>
          <w:lang w:val="en-GB"/>
        </w:rPr>
        <w:t xml:space="preserve">. These measurements could take </w:t>
      </w:r>
      <w:r w:rsidR="007E164D">
        <w:rPr>
          <w:lang w:val="en-GB"/>
        </w:rPr>
        <w:t xml:space="preserve">several </w:t>
      </w:r>
      <w:r w:rsidR="00E815E1">
        <w:rPr>
          <w:lang w:val="en-GB"/>
        </w:rPr>
        <w:t xml:space="preserve">hours </w:t>
      </w:r>
      <w:r w:rsidR="002D4266">
        <w:rPr>
          <w:lang w:val="en-GB"/>
        </w:rPr>
        <w:t>using oil flow visualisation</w:t>
      </w:r>
      <w:r w:rsidR="007E164D">
        <w:rPr>
          <w:lang w:val="en-GB"/>
        </w:rPr>
        <w:t xml:space="preserve"> or even longer with direct instrumentation, but can be completed in under an hour with IR. </w:t>
      </w:r>
    </w:p>
    <w:p w14:paraId="6092D407" w14:textId="26EFB4C0" w:rsidR="00B810B5" w:rsidRPr="00166E72" w:rsidRDefault="00B810B5" w:rsidP="002F6F30">
      <w:pPr>
        <w:pStyle w:val="BodyText2"/>
        <w:rPr>
          <w:lang w:val="en-GB"/>
        </w:rPr>
      </w:pPr>
      <w:r>
        <w:rPr>
          <w:lang w:val="en-GB"/>
        </w:rPr>
        <w:t xml:space="preserve">A similar analysis performed on the high-speed case </w:t>
      </w:r>
      <w:r w:rsidR="009B32C8">
        <w:rPr>
          <w:lang w:val="en-GB"/>
        </w:rPr>
        <w:t>shows that an optimal insulator thickness exists as well, however the interaction of the difference in recovery temperature and difference in heat transfer coefficient means that there exists a level of insulation that eliminates any temperatu</w:t>
      </w:r>
      <w:r w:rsidR="00AB13C8">
        <w:rPr>
          <w:lang w:val="en-GB"/>
        </w:rPr>
        <w:t>r</w:t>
      </w:r>
      <w:r w:rsidR="009B32C8">
        <w:rPr>
          <w:lang w:val="en-GB"/>
        </w:rPr>
        <w:t xml:space="preserve">e difference. </w:t>
      </w:r>
      <w:r w:rsidR="00707569">
        <w:rPr>
          <w:lang w:val="en-GB"/>
        </w:rPr>
        <w:t>Furthermore, as the high</w:t>
      </w:r>
      <w:r w:rsidR="00A7557A">
        <w:rPr>
          <w:lang w:val="en-GB"/>
        </w:rPr>
        <w:t>-</w:t>
      </w:r>
      <w:r w:rsidR="00707569">
        <w:rPr>
          <w:lang w:val="en-GB"/>
        </w:rPr>
        <w:t>speed case is not actively heated, this is dependent on transient changes to the temperature of a test piece</w:t>
      </w:r>
      <w:r w:rsidR="00A7557A">
        <w:rPr>
          <w:lang w:val="en-GB"/>
        </w:rPr>
        <w:t xml:space="preserve"> </w:t>
      </w:r>
      <w:r w:rsidR="008313AB">
        <w:rPr>
          <w:lang w:val="en-GB"/>
        </w:rPr>
        <w:t xml:space="preserve">and so the optimal thermal design depends on the nature of the experiment.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7D469E" w:rsidRPr="00166E72" w14:paraId="00A388D8" w14:textId="77777777" w:rsidTr="003756A3">
        <w:tc>
          <w:tcPr>
            <w:tcW w:w="9019" w:type="dxa"/>
            <w:gridSpan w:val="2"/>
          </w:tcPr>
          <w:p w14:paraId="5FBC2094" w14:textId="7F0BE43E" w:rsidR="007D469E" w:rsidRPr="00166E72" w:rsidRDefault="007D469E" w:rsidP="002F6F30">
            <w:pPr>
              <w:pStyle w:val="BodyText2"/>
              <w:ind w:firstLine="0"/>
              <w:rPr>
                <w:lang w:val="en-GB"/>
              </w:rPr>
            </w:pPr>
          </w:p>
          <w:p w14:paraId="778FDA33" w14:textId="2996AE21" w:rsidR="007D469E" w:rsidRDefault="007D469E" w:rsidP="00034F81">
            <w:pPr>
              <w:pStyle w:val="BodyText2"/>
              <w:ind w:firstLine="0"/>
              <w:jc w:val="center"/>
              <w:rPr>
                <w:lang w:val="en-GB"/>
              </w:rPr>
            </w:pPr>
          </w:p>
          <w:p w14:paraId="3766D2FF" w14:textId="77777777" w:rsidR="00034F81" w:rsidRDefault="00034F81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7A2CD8A5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3E7E7050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1ED4E7BC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4B9D4861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3A09A80D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292B8F3B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5697A804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3A8F3943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1777835E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55259612" w14:textId="42DF3962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08A92BB6" w14:textId="2E63C9C2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1D1A117E" wp14:editId="7C628F73">
                  <wp:simplePos x="0" y="0"/>
                  <wp:positionH relativeFrom="column">
                    <wp:posOffset>3298435</wp:posOffset>
                  </wp:positionH>
                  <wp:positionV relativeFrom="paragraph">
                    <wp:posOffset>44450</wp:posOffset>
                  </wp:positionV>
                  <wp:extent cx="2031023" cy="2516913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 sweep.eps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023" cy="251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73C0CA" w14:textId="453FF237" w:rsidR="002034DB" w:rsidRDefault="00154132" w:rsidP="002034DB">
            <w:pPr>
              <w:pStyle w:val="BodyText2"/>
              <w:ind w:firstLine="0"/>
              <w:jc w:val="lef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3B9C65E" wp14:editId="59798D25">
                  <wp:simplePos x="0" y="0"/>
                  <wp:positionH relativeFrom="column">
                    <wp:posOffset>-375138</wp:posOffset>
                  </wp:positionH>
                  <wp:positionV relativeFrom="paragraph">
                    <wp:posOffset>95250</wp:posOffset>
                  </wp:positionV>
                  <wp:extent cx="3033346" cy="2320593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D.eps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346" cy="232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31D169" w14:textId="5585511B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2D5BB55B" w14:textId="0382B551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3BFE5313" w14:textId="142AFE55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10D18D98" w14:textId="2E94A522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577CC8B3" w14:textId="5E8D3A7F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637EA8CE" w14:textId="20B72EBC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06049F1D" w14:textId="0FBBB5AD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11ED815D" w14:textId="1173D2E2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7D3FA1D8" w14:textId="2CF399F0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6FEF3D39" w14:textId="20A0C96A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29E04915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3D2E681F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6BA8F732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0862DE36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3D0A1A1B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3BCE9CD0" w14:textId="77777777" w:rsidR="002034DB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  <w:p w14:paraId="17C52184" w14:textId="47986103" w:rsidR="002034DB" w:rsidRPr="00166E72" w:rsidRDefault="002034DB" w:rsidP="002034DB">
            <w:pPr>
              <w:pStyle w:val="BodyText2"/>
              <w:ind w:firstLine="0"/>
              <w:jc w:val="left"/>
              <w:rPr>
                <w:lang w:val="en-GB"/>
              </w:rPr>
            </w:pPr>
          </w:p>
        </w:tc>
      </w:tr>
      <w:tr w:rsidR="002034DB" w:rsidRPr="00166E72" w14:paraId="1630BCEC" w14:textId="77777777" w:rsidTr="003756A3">
        <w:tc>
          <w:tcPr>
            <w:tcW w:w="4509" w:type="dxa"/>
          </w:tcPr>
          <w:p w14:paraId="74CDE2A2" w14:textId="111CE5E4" w:rsidR="002034DB" w:rsidRDefault="002034DB" w:rsidP="002034DB">
            <w:pPr>
              <w:pStyle w:val="BodyText2"/>
              <w:ind w:firstLine="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 xml:space="preserve">(a) </w:t>
            </w:r>
            <w:r>
              <w:rPr>
                <w:b/>
                <w:lang w:val="en-GB"/>
              </w:rPr>
              <w:t>Low speed laminar-turbulent temperature difference when varying insulator Biot number at low and high Reynolds numbers</w:t>
            </w:r>
          </w:p>
        </w:tc>
        <w:tc>
          <w:tcPr>
            <w:tcW w:w="4510" w:type="dxa"/>
          </w:tcPr>
          <w:p w14:paraId="3ABD9603" w14:textId="27008537" w:rsidR="002034DB" w:rsidRDefault="002034DB" w:rsidP="002034DB">
            <w:pPr>
              <w:pStyle w:val="BodyText2"/>
              <w:ind w:firstLine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(</w:t>
            </w:r>
            <w:r w:rsidR="00154132">
              <w:rPr>
                <w:b/>
                <w:lang w:val="en-GB"/>
              </w:rPr>
              <w:t>b</w:t>
            </w:r>
            <w:r>
              <w:rPr>
                <w:b/>
                <w:lang w:val="en-GB"/>
              </w:rPr>
              <w:t xml:space="preserve">) </w:t>
            </w:r>
            <w:r>
              <w:rPr>
                <w:b/>
                <w:lang w:val="en-GB"/>
              </w:rPr>
              <w:t xml:space="preserve">IR visualisation of transition movement on a NACA 0018 as </w:t>
            </w:r>
            <w:proofErr w:type="spellStart"/>
            <w:r>
              <w:rPr>
                <w:b/>
                <w:lang w:val="en-GB"/>
              </w:rPr>
              <w:t>it’s</w:t>
            </w:r>
            <w:proofErr w:type="spellEnd"/>
            <w:r>
              <w:rPr>
                <w:b/>
                <w:lang w:val="en-GB"/>
              </w:rPr>
              <w:t xml:space="preserve"> pitched at Re = 400k</w:t>
            </w:r>
          </w:p>
        </w:tc>
      </w:tr>
      <w:tr w:rsidR="007D469E" w:rsidRPr="00166E72" w14:paraId="5C65E74C" w14:textId="77777777" w:rsidTr="003756A3">
        <w:tc>
          <w:tcPr>
            <w:tcW w:w="9019" w:type="dxa"/>
            <w:gridSpan w:val="2"/>
          </w:tcPr>
          <w:p w14:paraId="089615F3" w14:textId="77777777" w:rsidR="002034DB" w:rsidRDefault="002034DB" w:rsidP="002034DB">
            <w:pPr>
              <w:pStyle w:val="BodyText2"/>
              <w:ind w:firstLine="0"/>
              <w:rPr>
                <w:b/>
                <w:lang w:val="en-GB"/>
              </w:rPr>
            </w:pPr>
          </w:p>
          <w:p w14:paraId="1CC56950" w14:textId="0012F94B" w:rsidR="007D469E" w:rsidRPr="00166E72" w:rsidRDefault="007D469E" w:rsidP="007D469E">
            <w:pPr>
              <w:pStyle w:val="BodyText2"/>
              <w:ind w:firstLine="0"/>
              <w:jc w:val="center"/>
              <w:rPr>
                <w:b/>
                <w:lang w:val="en-GB"/>
              </w:rPr>
            </w:pPr>
            <w:r w:rsidRPr="00166E72">
              <w:rPr>
                <w:b/>
                <w:lang w:val="en-GB"/>
              </w:rPr>
              <w:t xml:space="preserve">Figure 1. </w:t>
            </w:r>
            <w:r w:rsidR="003756A3">
              <w:rPr>
                <w:b/>
                <w:lang w:val="en-GB"/>
              </w:rPr>
              <w:t>Examples of the use of well-conditioned IR measurements</w:t>
            </w:r>
          </w:p>
        </w:tc>
      </w:tr>
    </w:tbl>
    <w:p w14:paraId="792AA906" w14:textId="6A9D9BA8" w:rsidR="007D1A84" w:rsidRPr="00166E72" w:rsidRDefault="007D1A84" w:rsidP="002F372E">
      <w:pPr>
        <w:pStyle w:val="BodyText2"/>
        <w:ind w:firstLine="0"/>
        <w:rPr>
          <w:lang w:val="en-GB"/>
        </w:rPr>
      </w:pPr>
    </w:p>
    <w:sectPr w:rsidR="007D1A84" w:rsidRPr="00166E72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F0B2A" w14:textId="77777777" w:rsidR="00846755" w:rsidRDefault="00846755">
      <w:r>
        <w:separator/>
      </w:r>
    </w:p>
  </w:endnote>
  <w:endnote w:type="continuationSeparator" w:id="0">
    <w:p w14:paraId="588C1AED" w14:textId="77777777" w:rsidR="00846755" w:rsidRDefault="0084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DAEB" w14:textId="290EE831" w:rsidR="007D469E" w:rsidRDefault="007D469E" w:rsidP="00C7341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3B0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7D1A84">
      <w:rPr>
        <w:rStyle w:val="PageNumber"/>
        <w:rFonts w:ascii="Arial" w:hAnsi="Arial" w:cs="Arial"/>
        <w:sz w:val="20"/>
        <w:lang w:val="en-US"/>
      </w:rPr>
      <w:t>Pisa</w:t>
    </w:r>
    <w:r w:rsidR="00067D57">
      <w:rPr>
        <w:rStyle w:val="PageNumber"/>
        <w:rFonts w:ascii="Arial" w:hAnsi="Arial" w:cs="Arial"/>
        <w:sz w:val="20"/>
        <w:lang w:val="en-US"/>
      </w:rPr>
      <w:t xml:space="preserve">, </w:t>
    </w:r>
    <w:r w:rsidR="007D1A84">
      <w:rPr>
        <w:rStyle w:val="PageNumber"/>
        <w:rFonts w:ascii="Arial" w:hAnsi="Arial" w:cs="Arial"/>
        <w:sz w:val="20"/>
        <w:lang w:val="en-US"/>
      </w:rPr>
      <w:t>Italy</w:t>
    </w:r>
    <w:r w:rsidR="0027233E">
      <w:rPr>
        <w:rStyle w:val="PageNumber"/>
        <w:rFonts w:ascii="Arial" w:hAnsi="Arial" w:cs="Arial"/>
        <w:sz w:val="20"/>
      </w:rPr>
      <w:tab/>
    </w:r>
    <w:r w:rsidR="0027233E">
      <w:rPr>
        <w:rStyle w:val="PageNumber"/>
        <w:rFonts w:ascii="Arial" w:hAnsi="Arial" w:cs="Arial"/>
        <w:sz w:val="20"/>
      </w:rPr>
      <w:tab/>
    </w:r>
    <w:r w:rsidR="003A2321">
      <w:rPr>
        <w:rStyle w:val="PageNumber"/>
        <w:rFonts w:ascii="Arial" w:hAnsi="Arial" w:cs="Arial"/>
        <w:sz w:val="20"/>
      </w:rPr>
      <w:t>2</w:t>
    </w:r>
    <w:r w:rsidR="007D1A84">
      <w:rPr>
        <w:rStyle w:val="PageNumber"/>
        <w:rFonts w:ascii="Arial" w:hAnsi="Arial" w:cs="Arial"/>
        <w:sz w:val="20"/>
      </w:rPr>
      <w:t>8</w:t>
    </w:r>
    <w:r w:rsidR="00067D57">
      <w:rPr>
        <w:rStyle w:val="PageNumber"/>
        <w:rFonts w:ascii="Arial" w:hAnsi="Arial" w:cs="Arial"/>
        <w:sz w:val="20"/>
      </w:rPr>
      <w:t xml:space="preserve"> – </w:t>
    </w:r>
    <w:r w:rsidR="007D1A84">
      <w:rPr>
        <w:rStyle w:val="PageNumber"/>
        <w:rFonts w:ascii="Arial" w:hAnsi="Arial" w:cs="Arial"/>
        <w:sz w:val="20"/>
      </w:rPr>
      <w:t>30</w:t>
    </w:r>
    <w:r w:rsidR="00067D57">
      <w:rPr>
        <w:rStyle w:val="PageNumber"/>
        <w:rFonts w:ascii="Arial" w:hAnsi="Arial" w:cs="Arial"/>
        <w:sz w:val="20"/>
      </w:rPr>
      <w:t xml:space="preserve"> September</w:t>
    </w:r>
    <w:r>
      <w:rPr>
        <w:rStyle w:val="PageNumber"/>
        <w:rFonts w:ascii="Arial" w:hAnsi="Arial" w:cs="Arial"/>
        <w:sz w:val="20"/>
      </w:rPr>
      <w:t xml:space="preserve"> 20</w:t>
    </w:r>
    <w:r w:rsidR="00067D57">
      <w:rPr>
        <w:rStyle w:val="PageNumber"/>
        <w:rFonts w:ascii="Arial" w:hAnsi="Arial" w:cs="Arial"/>
        <w:sz w:val="20"/>
      </w:rPr>
      <w:t>2</w:t>
    </w:r>
    <w:r w:rsidR="007D1A84">
      <w:rPr>
        <w:rStyle w:val="PageNumber"/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CB9B" w14:textId="6F5A3912" w:rsidR="007D469E" w:rsidRDefault="007D469E" w:rsidP="007D1A8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7D1A84">
      <w:rPr>
        <w:rStyle w:val="PageNumber"/>
        <w:rFonts w:ascii="Arial" w:hAnsi="Arial" w:cs="Arial"/>
        <w:sz w:val="20"/>
        <w:lang w:val="en-US"/>
      </w:rPr>
      <w:t>Pisa, Italy</w:t>
    </w:r>
    <w:r w:rsidR="007D1A84">
      <w:rPr>
        <w:rStyle w:val="PageNumber"/>
        <w:rFonts w:ascii="Arial" w:hAnsi="Arial" w:cs="Arial"/>
        <w:sz w:val="20"/>
      </w:rPr>
      <w:tab/>
    </w:r>
    <w:r w:rsidR="007D1A84">
      <w:rPr>
        <w:rStyle w:val="PageNumber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459E2" w14:textId="77777777" w:rsidR="00846755" w:rsidRDefault="00846755">
      <w:r>
        <w:separator/>
      </w:r>
    </w:p>
  </w:footnote>
  <w:footnote w:type="continuationSeparator" w:id="0">
    <w:p w14:paraId="1BE373BF" w14:textId="77777777" w:rsidR="00846755" w:rsidRDefault="0084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B63E" w14:textId="60EC7FBC" w:rsidR="00D824BE" w:rsidRDefault="00D824BE" w:rsidP="007D469E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50C38" w14:textId="60D21D70" w:rsidR="007D1A84" w:rsidRDefault="007D1A84" w:rsidP="007D1A84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F5699"/>
    <w:multiLevelType w:val="hybridMultilevel"/>
    <w:tmpl w:val="EF380020"/>
    <w:lvl w:ilvl="0" w:tplc="CD0012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34F81"/>
    <w:rsid w:val="00040C05"/>
    <w:rsid w:val="00067D57"/>
    <w:rsid w:val="000B7237"/>
    <w:rsid w:val="00120899"/>
    <w:rsid w:val="001311E8"/>
    <w:rsid w:val="00137880"/>
    <w:rsid w:val="001516E8"/>
    <w:rsid w:val="00154132"/>
    <w:rsid w:val="00166E72"/>
    <w:rsid w:val="0018667A"/>
    <w:rsid w:val="002034DB"/>
    <w:rsid w:val="0021067C"/>
    <w:rsid w:val="0027233E"/>
    <w:rsid w:val="002D4266"/>
    <w:rsid w:val="002E26BE"/>
    <w:rsid w:val="002F372E"/>
    <w:rsid w:val="002F6F30"/>
    <w:rsid w:val="003002DB"/>
    <w:rsid w:val="00330BF8"/>
    <w:rsid w:val="00333646"/>
    <w:rsid w:val="0035031F"/>
    <w:rsid w:val="003756A3"/>
    <w:rsid w:val="003A2321"/>
    <w:rsid w:val="003D5D56"/>
    <w:rsid w:val="00404301"/>
    <w:rsid w:val="00441A81"/>
    <w:rsid w:val="0046390A"/>
    <w:rsid w:val="00521EA9"/>
    <w:rsid w:val="00562188"/>
    <w:rsid w:val="00570BA1"/>
    <w:rsid w:val="005B17A4"/>
    <w:rsid w:val="005C4895"/>
    <w:rsid w:val="005D555C"/>
    <w:rsid w:val="006211FC"/>
    <w:rsid w:val="006751E7"/>
    <w:rsid w:val="006C5315"/>
    <w:rsid w:val="00707569"/>
    <w:rsid w:val="00722F70"/>
    <w:rsid w:val="00774652"/>
    <w:rsid w:val="00791559"/>
    <w:rsid w:val="007A6153"/>
    <w:rsid w:val="007D1A84"/>
    <w:rsid w:val="007D469E"/>
    <w:rsid w:val="007E164D"/>
    <w:rsid w:val="008057EF"/>
    <w:rsid w:val="008313AB"/>
    <w:rsid w:val="00846755"/>
    <w:rsid w:val="00850597"/>
    <w:rsid w:val="00850BEA"/>
    <w:rsid w:val="008D76C5"/>
    <w:rsid w:val="008F5DA3"/>
    <w:rsid w:val="00903B53"/>
    <w:rsid w:val="00930D6E"/>
    <w:rsid w:val="00931635"/>
    <w:rsid w:val="00932E67"/>
    <w:rsid w:val="0094246A"/>
    <w:rsid w:val="009B32C8"/>
    <w:rsid w:val="009C5B36"/>
    <w:rsid w:val="009E5645"/>
    <w:rsid w:val="009F585A"/>
    <w:rsid w:val="00A03A3A"/>
    <w:rsid w:val="00A7557A"/>
    <w:rsid w:val="00AB13C8"/>
    <w:rsid w:val="00B31F11"/>
    <w:rsid w:val="00B343A1"/>
    <w:rsid w:val="00B47D74"/>
    <w:rsid w:val="00B810B5"/>
    <w:rsid w:val="00B962DF"/>
    <w:rsid w:val="00B97726"/>
    <w:rsid w:val="00BE63FD"/>
    <w:rsid w:val="00BE6E4F"/>
    <w:rsid w:val="00BF32E0"/>
    <w:rsid w:val="00C13B22"/>
    <w:rsid w:val="00C3351C"/>
    <w:rsid w:val="00C66F85"/>
    <w:rsid w:val="00C70DE7"/>
    <w:rsid w:val="00C73411"/>
    <w:rsid w:val="00C84788"/>
    <w:rsid w:val="00C95CDF"/>
    <w:rsid w:val="00CC06FE"/>
    <w:rsid w:val="00CF348E"/>
    <w:rsid w:val="00D12736"/>
    <w:rsid w:val="00D13B06"/>
    <w:rsid w:val="00D66CB4"/>
    <w:rsid w:val="00D824BE"/>
    <w:rsid w:val="00DB7BB4"/>
    <w:rsid w:val="00DD22E9"/>
    <w:rsid w:val="00DF0AF2"/>
    <w:rsid w:val="00DF5AA9"/>
    <w:rsid w:val="00E12A0D"/>
    <w:rsid w:val="00E2198B"/>
    <w:rsid w:val="00E52D8C"/>
    <w:rsid w:val="00E815E1"/>
    <w:rsid w:val="00F01F59"/>
    <w:rsid w:val="00F55652"/>
    <w:rsid w:val="00F82AA5"/>
    <w:rsid w:val="00F855DF"/>
    <w:rsid w:val="00FA0597"/>
    <w:rsid w:val="00FE1B8A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Tables"/>
    <w:basedOn w:val="Normal"/>
    <w:next w:val="Normal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le">
    <w:name w:val="Title"/>
    <w:basedOn w:val="Normal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7D1A84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7D1A84"/>
    <w:rPr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2034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>KTH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William Davis</cp:lastModifiedBy>
  <cp:revision>58</cp:revision>
  <dcterms:created xsi:type="dcterms:W3CDTF">2022-03-08T23:04:00Z</dcterms:created>
  <dcterms:modified xsi:type="dcterms:W3CDTF">2022-05-27T14:49:00Z</dcterms:modified>
</cp:coreProperties>
</file>