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226B" w:rsidRDefault="00561F07">
      <w:pPr>
        <w:pStyle w:val="Titel"/>
      </w:pPr>
      <w:r>
        <w:t xml:space="preserve">AccuraCy Improvement of the transient heater foil technique for heat transfer tests: Preliminary Results </w:t>
      </w:r>
    </w:p>
    <w:p w:rsidR="006F226B" w:rsidRDefault="006F226B"/>
    <w:p w:rsidR="006F226B" w:rsidRDefault="006F226B"/>
    <w:tbl>
      <w:tblPr>
        <w:tblW w:w="9360" w:type="dxa"/>
        <w:tblLook w:val="0000" w:firstRow="0" w:lastRow="0" w:firstColumn="0" w:lastColumn="0" w:noHBand="0" w:noVBand="0"/>
      </w:tblPr>
      <w:tblGrid>
        <w:gridCol w:w="4681"/>
        <w:gridCol w:w="4679"/>
      </w:tblGrid>
      <w:tr w:rsidR="006F226B">
        <w:tc>
          <w:tcPr>
            <w:tcW w:w="4680" w:type="dxa"/>
          </w:tcPr>
          <w:p w:rsidR="006F226B" w:rsidRDefault="00561F07">
            <w:pPr>
              <w:pStyle w:val="Affiliation"/>
              <w:rPr>
                <w:b/>
                <w:bCs/>
                <w:vertAlign w:val="superscript"/>
                <w:lang w:val="de-DE"/>
              </w:rPr>
            </w:pPr>
            <w:r>
              <w:rPr>
                <w:b/>
                <w:bCs/>
                <w:lang w:val="de-DE"/>
              </w:rPr>
              <w:t>Julian Schmid</w:t>
            </w:r>
            <w:r>
              <w:rPr>
                <w:b/>
                <w:bCs/>
                <w:vertAlign w:val="superscript"/>
                <w:lang w:val="de-DE"/>
              </w:rPr>
              <w:t>1,2</w:t>
            </w:r>
            <w:r>
              <w:rPr>
                <w:b/>
                <w:bCs/>
                <w:lang w:val="de-DE"/>
              </w:rPr>
              <w:t xml:space="preserve">, Michele </w:t>
            </w:r>
            <w:proofErr w:type="spellStart"/>
            <w:r>
              <w:rPr>
                <w:b/>
                <w:bCs/>
                <w:lang w:val="de-DE"/>
              </w:rPr>
              <w:t>Gaffuri</w:t>
            </w:r>
            <w:proofErr w:type="spellEnd"/>
            <w:r>
              <w:rPr>
                <w:b/>
                <w:bCs/>
                <w:lang w:val="de-DE"/>
              </w:rPr>
              <w:t>, Peter Ott</w:t>
            </w:r>
          </w:p>
          <w:p w:rsidR="006F226B" w:rsidRDefault="00561F07">
            <w:pPr>
              <w:pStyle w:val="Affiliation"/>
              <w:numPr>
                <w:ilvl w:val="0"/>
                <w:numId w:val="2"/>
              </w:numPr>
            </w:pPr>
            <w:r>
              <w:t>Group of Thermal Turbomachinery (GTT)</w:t>
            </w:r>
          </w:p>
          <w:p w:rsidR="006F226B" w:rsidRDefault="00561F07">
            <w:pPr>
              <w:pStyle w:val="Affiliation"/>
            </w:pPr>
            <w:r>
              <w:t>EPFL- Swiss Federal Institute of Technology</w:t>
            </w:r>
          </w:p>
          <w:p w:rsidR="006F226B" w:rsidRDefault="00561F07">
            <w:pPr>
              <w:pStyle w:val="Affiliation"/>
              <w:numPr>
                <w:ilvl w:val="0"/>
                <w:numId w:val="1"/>
              </w:numPr>
              <w:rPr>
                <w:lang w:val="de-DE"/>
              </w:rPr>
            </w:pPr>
            <w:r>
              <w:rPr>
                <w:lang w:val="de-DE"/>
              </w:rPr>
              <w:t xml:space="preserve">Lausanne, </w:t>
            </w:r>
            <w:proofErr w:type="spellStart"/>
            <w:r>
              <w:rPr>
                <w:lang w:val="de-DE"/>
              </w:rPr>
              <w:t>Switzerland</w:t>
            </w:r>
            <w:proofErr w:type="spellEnd"/>
          </w:p>
          <w:p w:rsidR="006F226B" w:rsidRDefault="00561F07">
            <w:pPr>
              <w:pStyle w:val="Affiliation"/>
              <w:ind w:left="360"/>
              <w:rPr>
                <w:color w:val="4472C4" w:themeColor="accent5"/>
                <w:lang w:val="de-DE"/>
              </w:rPr>
            </w:pPr>
            <w:hyperlink r:id="rId8">
              <w:r>
                <w:rPr>
                  <w:rStyle w:val="Hyperlink"/>
                  <w:lang w:val="de-DE"/>
                </w:rPr>
                <w:t>julschmid@ethz.ch</w:t>
              </w:r>
            </w:hyperlink>
            <w:r>
              <w:rPr>
                <w:color w:val="4472C4" w:themeColor="accent5"/>
                <w:u w:val="single"/>
                <w:lang w:val="de-DE"/>
              </w:rPr>
              <w:t>,</w:t>
            </w:r>
            <w:r>
              <w:rPr>
                <w:color w:val="4472C4" w:themeColor="accent5"/>
                <w:lang w:val="de-DE"/>
              </w:rPr>
              <w:t xml:space="preserve"> </w:t>
            </w:r>
            <w:r>
              <w:rPr>
                <w:color w:val="4472C4" w:themeColor="accent5"/>
                <w:u w:val="single"/>
                <w:lang w:val="de-DE"/>
              </w:rPr>
              <w:t>michele.gaffuri@epfl.ch</w:t>
            </w:r>
          </w:p>
        </w:tc>
        <w:tc>
          <w:tcPr>
            <w:tcW w:w="4679" w:type="dxa"/>
          </w:tcPr>
          <w:p w:rsidR="006F226B" w:rsidRDefault="00561F07">
            <w:pPr>
              <w:pStyle w:val="Affiliation"/>
              <w:rPr>
                <w:b/>
                <w:bCs/>
              </w:rPr>
            </w:pPr>
            <w:r>
              <w:rPr>
                <w:b/>
                <w:bCs/>
              </w:rPr>
              <w:t xml:space="preserve">Jens von </w:t>
            </w:r>
            <w:proofErr w:type="spellStart"/>
            <w:r>
              <w:rPr>
                <w:b/>
                <w:bCs/>
              </w:rPr>
              <w:t>Wolfersdorf</w:t>
            </w:r>
            <w:proofErr w:type="spellEnd"/>
            <w:r>
              <w:rPr>
                <w:b/>
                <w:bCs/>
              </w:rPr>
              <w:t xml:space="preserve"> </w:t>
            </w:r>
          </w:p>
          <w:p w:rsidR="006F226B" w:rsidRDefault="00561F07">
            <w:pPr>
              <w:pStyle w:val="Affiliation"/>
              <w:numPr>
                <w:ilvl w:val="0"/>
                <w:numId w:val="2"/>
              </w:numPr>
            </w:pPr>
            <w:r>
              <w:t>Institute of Aerospace Thermodynamics</w:t>
            </w:r>
          </w:p>
          <w:p w:rsidR="006F226B" w:rsidRDefault="00561F07">
            <w:pPr>
              <w:pStyle w:val="Affiliation"/>
            </w:pPr>
            <w:r>
              <w:t>University of Stuttgart</w:t>
            </w:r>
          </w:p>
          <w:p w:rsidR="006F226B" w:rsidRDefault="00561F07">
            <w:pPr>
              <w:pStyle w:val="Affiliation"/>
            </w:pPr>
            <w:r>
              <w:t>70569 Stuttgart, Germany</w:t>
            </w:r>
          </w:p>
        </w:tc>
      </w:tr>
    </w:tbl>
    <w:p w:rsidR="006F226B" w:rsidRDefault="006F226B">
      <w:pPr>
        <w:sectPr w:rsidR="006F226B">
          <w:headerReference w:type="default" r:id="rId9"/>
          <w:footerReference w:type="default" r:id="rId10"/>
          <w:pgSz w:w="11906" w:h="16838"/>
          <w:pgMar w:top="1440" w:right="1440" w:bottom="1440" w:left="1440" w:header="720" w:footer="720" w:gutter="0"/>
          <w:cols w:space="720"/>
          <w:formProt w:val="0"/>
          <w:docGrid w:linePitch="360" w:charSpace="8192"/>
        </w:sectPr>
      </w:pPr>
    </w:p>
    <w:p w:rsidR="006F226B" w:rsidRDefault="006F226B">
      <w:pPr>
        <w:pStyle w:val="Textkrper2"/>
        <w:ind w:firstLine="0"/>
      </w:pPr>
    </w:p>
    <w:p w:rsidR="006F226B" w:rsidRDefault="006F226B">
      <w:pPr>
        <w:pStyle w:val="Textkrper2"/>
      </w:pPr>
    </w:p>
    <w:p w:rsidR="006F226B" w:rsidRDefault="006F226B">
      <w:pPr>
        <w:pStyle w:val="Textkrper2"/>
      </w:pPr>
    </w:p>
    <w:p w:rsidR="006F226B" w:rsidRDefault="006F226B">
      <w:pPr>
        <w:sectPr w:rsidR="006F226B">
          <w:type w:val="continuous"/>
          <w:pgSz w:w="11906" w:h="16838"/>
          <w:pgMar w:top="1440" w:right="1440" w:bottom="1440" w:left="1440" w:header="720" w:footer="720" w:gutter="0"/>
          <w:cols w:num="2" w:space="720"/>
          <w:formProt w:val="0"/>
          <w:docGrid w:linePitch="360" w:charSpace="8192"/>
        </w:sectPr>
      </w:pPr>
    </w:p>
    <w:p w:rsidR="006F226B" w:rsidRDefault="006F226B">
      <w:pPr>
        <w:pStyle w:val="AbstractClauseTitle"/>
      </w:pPr>
    </w:p>
    <w:p w:rsidR="006F226B" w:rsidRDefault="00561F07">
      <w:pPr>
        <w:pStyle w:val="AbstractClauseTitle"/>
      </w:pPr>
      <w:r>
        <w:t>Abstract</w:t>
      </w:r>
    </w:p>
    <w:p w:rsidR="006F226B" w:rsidRDefault="00561F07">
      <w:pPr>
        <w:pStyle w:val="Textkrper2"/>
        <w:ind w:firstLine="0"/>
      </w:pPr>
      <w:r>
        <w:t>A modification and improvement of the transient heater foil method is presented using a single impingement cooling setup. The existing method using a constant heat flux at the surface to run the experiment is modified and a linearly increasing heat flux is</w:t>
      </w:r>
      <w:r>
        <w:t xml:space="preserve"> applied, which improves the accuracy of the measurements especially in low heat transfer regions. This new </w:t>
      </w:r>
      <w:r>
        <w:t>procedure</w:t>
      </w:r>
      <w:r>
        <w:t xml:space="preserve"> is in good agreement with </w:t>
      </w:r>
      <w:r>
        <w:t>the baseline method (heater foil with step heating) and the literature, and the accuracy of the results is</w:t>
      </w:r>
      <w:r>
        <w:t xml:space="preserve"> improved compared to the baseline.</w:t>
      </w:r>
    </w:p>
    <w:p w:rsidR="006F226B" w:rsidRDefault="006F226B">
      <w:pPr>
        <w:pStyle w:val="Textkrper2"/>
        <w:ind w:firstLine="0"/>
      </w:pPr>
    </w:p>
    <w:p w:rsidR="006F226B" w:rsidRDefault="00561F07">
      <w:pPr>
        <w:pStyle w:val="AbstractClauseTitle"/>
      </w:pPr>
      <w:r>
        <w:t>introduction</w:t>
      </w:r>
    </w:p>
    <w:p w:rsidR="006F226B" w:rsidRDefault="00561F07">
      <w:pPr>
        <w:pStyle w:val="AbstractClauseTitle"/>
        <w:rPr>
          <w:rFonts w:ascii="Times New Roman" w:hAnsi="Times New Roman"/>
          <w:b w:val="0"/>
          <w:caps w:val="0"/>
        </w:rPr>
      </w:pPr>
      <w:r>
        <w:rPr>
          <w:rFonts w:ascii="Times New Roman" w:hAnsi="Times New Roman"/>
          <w:b w:val="0"/>
          <w:caps w:val="0"/>
        </w:rPr>
        <w:t>Nowadays impingement channels are widely used to cool gas turbine blades and vanes in regions of high thermal load. Advanced manufacturing processes such as soluble core investment casting or additive manuf</w:t>
      </w:r>
      <w:r>
        <w:rPr>
          <w:rFonts w:ascii="Times New Roman" w:hAnsi="Times New Roman"/>
          <w:b w:val="0"/>
          <w:caps w:val="0"/>
        </w:rPr>
        <w:t xml:space="preserve">acturing offer the possibility of integrating complex cooling solutions like narrow impingement channels </w:t>
      </w:r>
      <w:r>
        <w:fldChar w:fldCharType="begin"/>
      </w:r>
      <w:r>
        <w:rPr>
          <w:rFonts w:ascii="Times New Roman" w:hAnsi="Times New Roman"/>
          <w:b w:val="0"/>
          <w:caps w:val="0"/>
        </w:rPr>
        <w:instrText>ADDIN CSL_CITATION {"citationItems":[{"id":"ITEM-1","itemData":{"DOI":"10.1115/1.4027679","ISSN":"15288900","abstract":"The current capabilities of the</w:instrText>
      </w:r>
      <w:r>
        <w:rPr>
          <w:rFonts w:ascii="Times New Roman" w:hAnsi="Times New Roman"/>
          <w:b w:val="0"/>
          <w:caps w:val="0"/>
        </w:rPr>
        <w:instrText xml:space="preserve"> foundry industry allow the production of integrally cast turbine airfoils. Impingement cooling effectiveness can be then further increased due to the manufacturing feasibility of narrow impingement cavities in a double-wall configuration. This study exami</w:instrText>
      </w:r>
      <w:r>
        <w:rPr>
          <w:rFonts w:ascii="Times New Roman" w:hAnsi="Times New Roman"/>
          <w:b w:val="0"/>
          <w:caps w:val="0"/>
        </w:rPr>
        <w:instrText>nes experimentally, using the transient liquid crystal technique, the cooling performance of narrow cavities consisting of a single row of five impingement holes. Heat transfer coefficient distributions are obtained for all channel interior surfaces over a</w:instrText>
      </w:r>
      <w:r>
        <w:rPr>
          <w:rFonts w:ascii="Times New Roman" w:hAnsi="Times New Roman"/>
          <w:b w:val="0"/>
          <w:caps w:val="0"/>
        </w:rPr>
        <w:instrText xml:space="preserve"> range of engine realistic Reynolds numbers varying between 10,900 and 85,900. Effects of streamwise jet-to-jet spacing (X/D), channel width (Y/D), jet-to-target plate distance (Z/D), and jet offset position (ΔY/D) from the channel centerline are investiga</w:instrText>
      </w:r>
      <w:r>
        <w:rPr>
          <w:rFonts w:ascii="Times New Roman" w:hAnsi="Times New Roman"/>
          <w:b w:val="0"/>
          <w:caps w:val="0"/>
        </w:rPr>
        <w:instrText>ted composing a test matrix of 22 different geometries. Additionally, the target plate and sidewalls heat transfer rates are successfully correlated within the experimental uncertainties providing an empirical heat transfer model for narrow impingement cha</w:instrText>
      </w:r>
      <w:r>
        <w:rPr>
          <w:rFonts w:ascii="Times New Roman" w:hAnsi="Times New Roman"/>
          <w:b w:val="0"/>
          <w:caps w:val="0"/>
        </w:rPr>
        <w:instrText>nnels. The results indicate similarities with multijet impingement configurations; however, the achievable heat transfer level is about 20% lower compared to periodic multijet impingement correlations found in open literature.","author":[{"dropping-particl</w:instrText>
      </w:r>
      <w:r>
        <w:rPr>
          <w:rFonts w:ascii="Times New Roman" w:hAnsi="Times New Roman"/>
          <w:b w:val="0"/>
          <w:caps w:val="0"/>
        </w:rPr>
        <w:instrText>e":"","family":"Terzis","given":"Alexandros","non-dropping-particle":"","parse-names":false,"suffix":""},{"dropping-particle":"","family":"Ott","given":"Peter","non-dropping-particle":"","parse-names":false,"suffix":""},{"dropping-particle":"","family":"Wo</w:instrText>
      </w:r>
      <w:r>
        <w:rPr>
          <w:rFonts w:ascii="Times New Roman" w:hAnsi="Times New Roman"/>
          <w:b w:val="0"/>
          <w:caps w:val="0"/>
        </w:rPr>
        <w:instrText>lfersdorf","given":"Jens","non-dropping-particle":"Von","parse-names":false,"suffix":""},{"dropping-particle":"","family":"Weigand","given":"Bernhard","non-dropping-particle":"","parse-names":false,"suffix":""},{"dropping-particle":"","family":"Cochet","gi</w:instrText>
      </w:r>
      <w:r>
        <w:rPr>
          <w:rFonts w:ascii="Times New Roman" w:hAnsi="Times New Roman"/>
          <w:b w:val="0"/>
          <w:caps w:val="0"/>
        </w:rPr>
        <w:instrText>ven":"Magali","non-dropping-particle":"","parse-names":false,"suffix":""}],"container-title":"Journal of Turbomachinery","id":"ITEM-1","issue":"9","issued":{"date-parts":[["2014","9","1"]]},"publisher":"American Society of Mechanical Engineers (ASME)","tit</w:instrText>
      </w:r>
      <w:r>
        <w:rPr>
          <w:rFonts w:ascii="Times New Roman" w:hAnsi="Times New Roman"/>
          <w:b w:val="0"/>
          <w:caps w:val="0"/>
        </w:rPr>
        <w:instrText>le":"Detailed heat transfer distributions of narrow impingement channels for cast-in turbine airfoils","type":"article-journal","volume":"136"},"uris":["http://www.mendeley.com/documents/?uuid=ca10d9c6-a4fd-3d70-9668-d5478e6a356d"]}],"mendeley":{"formatted</w:instrText>
      </w:r>
      <w:r>
        <w:rPr>
          <w:rFonts w:ascii="Times New Roman" w:hAnsi="Times New Roman"/>
          <w:b w:val="0"/>
          <w:caps w:val="0"/>
        </w:rPr>
        <w:instrText>Citation":"[1]","plainTextFormattedCitation":"[1]","previouslyFormattedCitation":"[1]"},"properties":{"noteIndex":0},"schema":"https://github.com/citation-style-language/schema/raw/master/csl-citation.json"}</w:instrText>
      </w:r>
      <w:r>
        <w:rPr>
          <w:rFonts w:ascii="Times New Roman" w:hAnsi="Times New Roman"/>
          <w:b w:val="0"/>
          <w:caps w:val="0"/>
        </w:rPr>
        <w:fldChar w:fldCharType="separate"/>
      </w:r>
      <w:r>
        <w:rPr>
          <w:rFonts w:ascii="Times New Roman" w:hAnsi="Times New Roman"/>
          <w:bCs/>
          <w:caps w:val="0"/>
        </w:rPr>
        <w:t>[1]</w:t>
      </w:r>
      <w:r>
        <w:rPr>
          <w:rFonts w:ascii="Times New Roman" w:hAnsi="Times New Roman"/>
          <w:b w:val="0"/>
          <w:caps w:val="0"/>
        </w:rPr>
        <w:fldChar w:fldCharType="end"/>
      </w:r>
      <w:r>
        <w:rPr>
          <w:rFonts w:ascii="Times New Roman" w:hAnsi="Times New Roman"/>
          <w:bCs/>
          <w:caps w:val="0"/>
        </w:rPr>
        <w:t xml:space="preserve"> </w:t>
      </w:r>
      <w:r>
        <w:rPr>
          <w:rFonts w:ascii="Times New Roman" w:hAnsi="Times New Roman"/>
          <w:b w:val="0"/>
          <w:caps w:val="0"/>
        </w:rPr>
        <w:t xml:space="preserve">in a double wall geometry </w:t>
      </w:r>
      <w:r>
        <w:fldChar w:fldCharType="begin"/>
      </w:r>
      <w:r>
        <w:rPr>
          <w:rFonts w:ascii="Times New Roman" w:hAnsi="Times New Roman"/>
          <w:b w:val="0"/>
          <w:caps w:val="0"/>
        </w:rPr>
        <w:instrText>ADDIN CSL_CITATI</w:instrText>
      </w:r>
      <w:r>
        <w:rPr>
          <w:rFonts w:ascii="Times New Roman" w:hAnsi="Times New Roman"/>
          <w:b w:val="0"/>
          <w:caps w:val="0"/>
        </w:rPr>
        <w:instrText>ON {"citationItems":[{"id":"ITEM-1","itemData":{"ISBN":"U.S. 6,379,118 B2","abstract":"In a cooled blade for a gas turbine, a cooling fluid, preferably cooling air, flows for convective cooling through internal cooling passages located close to the wall an</w:instrText>
      </w:r>
      <w:r>
        <w:rPr>
          <w:rFonts w:ascii="Times New Roman" w:hAnsi="Times New Roman"/>
          <w:b w:val="0"/>
          <w:caps w:val="0"/>
        </w:rPr>
        <w:instrText>d is subsequently deflected for external film cooling through film-cooling holes onto the blade surface. The fluid flow is directed in at least some of the internal cooling passages in counterflow to the hot-gas flow flowing around the blade. Homogeneous c</w:instrText>
      </w:r>
      <w:r>
        <w:rPr>
          <w:rFonts w:ascii="Times New Roman" w:hAnsi="Times New Roman"/>
          <w:b w:val="0"/>
          <w:caps w:val="0"/>
        </w:rPr>
        <w:instrText>ooling in the radial direction is achieved by providing a plurality of internal cooling passages and film-cooling holes arranged one above the other in the radial direction in the blade in such a way that the discharge openings of the film-cooling holes in</w:instrText>
      </w:r>
      <w:r>
        <w:rPr>
          <w:rFonts w:ascii="Times New Roman" w:hAnsi="Times New Roman"/>
          <w:b w:val="0"/>
          <w:caps w:val="0"/>
        </w:rPr>
        <w:instrText xml:space="preserve"> each case lie so as to be offset from the internal cooling passages, and in particular the discharge openings lie between the internal cooling passages.","author":[{"dropping-particle":"","family":"Lutum","given":"Ewald","non-dropping-particle":"","parse-</w:instrText>
      </w:r>
      <w:r>
        <w:rPr>
          <w:rFonts w:ascii="Times New Roman" w:hAnsi="Times New Roman"/>
          <w:b w:val="0"/>
          <w:caps w:val="0"/>
        </w:rPr>
        <w:instrText>names":false,"suffix":""},{"dropping-particle":"","family":"Semmler","given":"Klaus","non-dropping-particle":"","parse-names":false,"suffix":""},{"dropping-particle":"","family":"Wolfersdorf","given":"J","non-dropping-particle":"","parse-names":false,"suff</w:instrText>
      </w:r>
      <w:r>
        <w:rPr>
          <w:rFonts w:ascii="Times New Roman" w:hAnsi="Times New Roman"/>
          <w:b w:val="0"/>
          <w:caps w:val="0"/>
        </w:rPr>
        <w:instrText>ix":""}],"id":"ITEM-1","issued":{"date-parts":[["2002","1","12"]]},"page":"10","publisher-place":"U.S. Patent","title":"Cooled blade for a gas turbine","type":"patent"},"uris":["http://www.mendeley.com/documents/?uuid=9a4d56a5-d59c-30ad-9311-dd1e0f115b6a"]</w:instrText>
      </w:r>
      <w:r>
        <w:rPr>
          <w:rFonts w:ascii="Times New Roman" w:hAnsi="Times New Roman"/>
          <w:b w:val="0"/>
          <w:caps w:val="0"/>
        </w:rPr>
        <w:instrText>}],"mendeley":{"formattedCitation":"[2]","plainTextFormattedCitation":"[2]","previouslyFormattedCitation":"[2]"},"properties":{"noteIndex":0},"schema":"https://github.com/citation-style-language/schema/raw/master/csl-citation.json"}</w:instrText>
      </w:r>
      <w:r>
        <w:rPr>
          <w:rFonts w:ascii="Times New Roman" w:hAnsi="Times New Roman"/>
          <w:b w:val="0"/>
          <w:caps w:val="0"/>
        </w:rPr>
        <w:fldChar w:fldCharType="separate"/>
      </w:r>
      <w:r>
        <w:rPr>
          <w:rFonts w:ascii="Times New Roman" w:hAnsi="Times New Roman"/>
          <w:bCs/>
          <w:caps w:val="0"/>
        </w:rPr>
        <w:t>[2]</w:t>
      </w:r>
      <w:r>
        <w:rPr>
          <w:rFonts w:ascii="Times New Roman" w:hAnsi="Times New Roman"/>
          <w:b w:val="0"/>
          <w:caps w:val="0"/>
        </w:rPr>
        <w:fldChar w:fldCharType="end"/>
      </w:r>
      <w:r>
        <w:rPr>
          <w:rFonts w:ascii="Times New Roman" w:hAnsi="Times New Roman"/>
          <w:bCs/>
          <w:caps w:val="0"/>
        </w:rPr>
        <w:t>,</w:t>
      </w:r>
      <w:r>
        <w:rPr>
          <w:rFonts w:ascii="Times New Roman" w:hAnsi="Times New Roman"/>
          <w:b w:val="0"/>
          <w:caps w:val="0"/>
        </w:rPr>
        <w:t xml:space="preserve"> which can achiev</w:t>
      </w:r>
      <w:r>
        <w:rPr>
          <w:rFonts w:ascii="Times New Roman" w:hAnsi="Times New Roman"/>
          <w:b w:val="0"/>
          <w:caps w:val="0"/>
        </w:rPr>
        <w:t xml:space="preserve">e very high heat transfer rates. </w:t>
      </w:r>
    </w:p>
    <w:p w:rsidR="006F226B" w:rsidRDefault="006F226B">
      <w:pPr>
        <w:pStyle w:val="AbstractClauseTitle"/>
        <w:rPr>
          <w:rFonts w:ascii="Times New Roman" w:hAnsi="Times New Roman"/>
          <w:b w:val="0"/>
          <w:caps w:val="0"/>
        </w:rPr>
      </w:pPr>
    </w:p>
    <w:p w:rsidR="006F226B" w:rsidRDefault="00561F07">
      <w:pPr>
        <w:pStyle w:val="AbstractClauseTitle"/>
        <w:rPr>
          <w:rFonts w:ascii="Times New Roman" w:hAnsi="Times New Roman"/>
          <w:b w:val="0"/>
          <w:caps w:val="0"/>
        </w:rPr>
      </w:pPr>
      <w:r>
        <w:rPr>
          <w:rFonts w:ascii="Times New Roman" w:hAnsi="Times New Roman"/>
          <w:b w:val="0"/>
          <w:caps w:val="0"/>
        </w:rPr>
        <w:t>The impingement cooling channels usually consist of several adjacent cooling jets which are arranged in a radial direction in the turbine airfoil. This arrangement of the individual jets causes a crossflow which reduces t</w:t>
      </w:r>
      <w:r>
        <w:rPr>
          <w:rFonts w:ascii="Times New Roman" w:hAnsi="Times New Roman"/>
          <w:b w:val="0"/>
          <w:caps w:val="0"/>
        </w:rPr>
        <w:t>he heat transfer performance of the downstream jets. Therefore, one of the keys for further development of impingement channel design is on reducing the crossflow. This problem can be tackled by arranging two or more channels in a cascading scheme, where f</w:t>
      </w:r>
      <w:r>
        <w:rPr>
          <w:rFonts w:ascii="Times New Roman" w:hAnsi="Times New Roman"/>
          <w:b w:val="0"/>
          <w:caps w:val="0"/>
        </w:rPr>
        <w:t>luid from the first channel can be reused in the following channel by means of an intermediate plenum chamber, thus resetting the crossflow.</w:t>
      </w:r>
    </w:p>
    <w:p w:rsidR="006F226B" w:rsidRDefault="006F226B">
      <w:pPr>
        <w:pStyle w:val="AbstractClauseTitle"/>
        <w:rPr>
          <w:rFonts w:ascii="Times New Roman" w:hAnsi="Times New Roman"/>
          <w:b w:val="0"/>
          <w:caps w:val="0"/>
        </w:rPr>
      </w:pPr>
    </w:p>
    <w:p w:rsidR="006F226B" w:rsidRDefault="00561F07">
      <w:pPr>
        <w:pStyle w:val="AbstractClauseTitle"/>
      </w:pPr>
      <w:r>
        <w:t>RESULTS and DISCUSSION</w:t>
      </w:r>
    </w:p>
    <w:p w:rsidR="006F226B" w:rsidRDefault="00561F07">
      <w:pPr>
        <w:pStyle w:val="Textkrper2"/>
        <w:ind w:firstLine="0"/>
      </w:pPr>
      <w:proofErr w:type="spellStart"/>
      <w:r>
        <w:t>Gaffuri</w:t>
      </w:r>
      <w:proofErr w:type="spellEnd"/>
      <w:r>
        <w:t xml:space="preserve"> et al</w:t>
      </w:r>
      <w:r>
        <w:rPr>
          <w:b/>
          <w:bCs/>
        </w:rPr>
        <w:t xml:space="preserve">. </w:t>
      </w:r>
      <w:r>
        <w:fldChar w:fldCharType="begin"/>
      </w:r>
      <w:r>
        <w:rPr>
          <w:b/>
          <w:bCs/>
        </w:rPr>
        <w:instrText xml:space="preserve">ADDIN CSL_CITATION </w:instrText>
      </w:r>
      <w:r>
        <w:rPr>
          <w:b/>
          <w:bCs/>
        </w:rPr>
        <w:instrText>{"citationItems":[{"id":"ITEM-1","itemData":{"author":[{"dropping-particle":"","family":"Gaffuri","given":"Michele","non-dropping-particle":"","parse-names":false,"suffix":""},{"dropping-particle":"","family":"Terzis","given":"Alexandros","non-dropping-par</w:instrText>
      </w:r>
      <w:r>
        <w:rPr>
          <w:b/>
          <w:bCs/>
        </w:rPr>
        <w:instrText>ticle":"","parse-names":false,"suffix":""},{"dropping-particle":"","family":"Ott","given":"Peter","non-dropping-particle":"","parse-names":false,"suffix":""}],"container-title":"XXIV Biannual Symposium on Measuring Techniques in Turbomachinery Transonic an</w:instrText>
      </w:r>
      <w:r>
        <w:rPr>
          <w:b/>
          <w:bCs/>
        </w:rPr>
        <w:instrText>d Supersonic Flow in Cascades and Turbomachines","id":"ITEM-1","issue":"August","issued":{"date-parts":[["2018"]]},"page":"1-6","title":"Evaluation of Heat Transfer Coefficients for an Impingement Cooling Cascade: Experimental Challenges and Preliminary Re</w:instrText>
      </w:r>
      <w:r>
        <w:rPr>
          <w:b/>
          <w:bCs/>
        </w:rPr>
        <w:instrText>sults","type":"paper-conference"},"uris":["http://www.mendeley.com/documents/?uuid=6571d9f8-1b88-4f6e-8c6d-1a8e04274aa1"]}],"mendeley":{"formattedCitation":"[3]","plainTextFormattedCitation":"[3]","previouslyFormattedCitation":"[3]"},"properties":{"noteInd</w:instrText>
      </w:r>
      <w:r>
        <w:rPr>
          <w:b/>
          <w:bCs/>
        </w:rPr>
        <w:instrText>ex":0},"schema":"https://github.com/citation-style-language/schema/raw/master/csl-citation.json"}</w:instrText>
      </w:r>
      <w:r>
        <w:rPr>
          <w:b/>
          <w:bCs/>
        </w:rPr>
        <w:fldChar w:fldCharType="separate"/>
      </w:r>
      <w:r>
        <w:rPr>
          <w:bCs/>
        </w:rPr>
        <w:t>[</w:t>
      </w:r>
      <w:r>
        <w:rPr>
          <w:b/>
        </w:rPr>
        <w:t>3]</w:t>
      </w:r>
      <w:r>
        <w:rPr>
          <w:b/>
          <w:bCs/>
        </w:rPr>
        <w:fldChar w:fldCharType="end"/>
      </w:r>
      <w:r>
        <w:t xml:space="preserve"> presented a model setup for the experimental investigation of the thermal performance of these cascade channels using the transient liquid crystal heate</w:t>
      </w:r>
      <w:r>
        <w:t xml:space="preserve">r foil technique which overcomes the drawbacks of the well-known transient liquid crystal heater mesh method for this setup.  The special feature of this method is that the change in driving temperature is achieved by a thin conductive foil applied to the </w:t>
      </w:r>
      <w:r>
        <w:t>wall and through which an electric current is passed. The resulting temperature evolution of the surface is determined by observing the color change of a thermochromic liquid crystal coating.  The convective heat transfer can therefore be determined by mea</w:t>
      </w:r>
      <w:r>
        <w:t>ns of the one dimensional heat conduction equation and a semi-infinite assumption. However, this method also poses challenges, such as the increased measurement inaccuracies in the low heat transfer areas, the precise determination of the applied heat flux</w:t>
      </w:r>
      <w:r>
        <w:t xml:space="preserve"> and the associated resistance dependence.</w:t>
      </w:r>
    </w:p>
    <w:p w:rsidR="006F226B" w:rsidRDefault="006F226B">
      <w:pPr>
        <w:pStyle w:val="Textkrper2"/>
      </w:pPr>
    </w:p>
    <w:p w:rsidR="006F226B" w:rsidRDefault="00561F07">
      <w:pPr>
        <w:pStyle w:val="Textkrper2"/>
        <w:ind w:firstLine="0"/>
      </w:pPr>
      <w:r>
        <w:t xml:space="preserve">In this paper, improvements to the heater foil technique are presented. A metallic </w:t>
      </w:r>
      <w:r>
        <w:t xml:space="preserve">foil made of a low temperature coefficient of resistance </w:t>
      </w:r>
      <w:r>
        <w:t>is used. Additionally, instead of a temperature step like in the classic</w:t>
      </w:r>
      <w:r>
        <w:t>al heater mesh and heater foil method, here a linear increase of the heat flux is used, which improves the measurement accuracy in the low heat transfer regions. The improved method is tested on a single impingement setup, with variations of jet to plate d</w:t>
      </w:r>
      <w:r>
        <w:t xml:space="preserve">istance and Reynolds number. Results are compared to the baseline method (heater foil with step heating) and data from the literature </w:t>
      </w:r>
      <w:r>
        <w:fldChar w:fldCharType="begin"/>
      </w:r>
      <w:r>
        <w:instrText>ADDIN CSL_CITATION {"citationItems":[{"id":"ITEM-1","itemData":{"DOI":"10.1115/1.3250477","ISSN":"15288943","abstract":"Ex</w:instrText>
      </w:r>
      <w:r>
        <w:instrText>periments are conducted to determine the heat transfer to a jet impinging at different oblique angles to a plane surface. The main portion of the test plate contains a composite sheet of temperature-sensitive liquid crystal, which is sandwiched between a t</w:instrText>
      </w:r>
      <w:r>
        <w:instrText>hin metallic-foil heater and a specially designed liquid bath. The results indicate a displacement of the peak heat transfer from the geometric center of the jet origin, the displacement being a function primarily of impingement angle. Contours of constant</w:instrText>
      </w:r>
      <w:r>
        <w:instrText xml:space="preserve"> heat transfer coefficient are obtained and correlated with an empirical equation that permits determination of average Nusselt numbers over areas of interest. © 1988 by ASME.","author":[{"dropping-particle":"","family":"Goldstein","given":"R. J.","non-dro</w:instrText>
      </w:r>
      <w:r>
        <w:instrText>pping-particle":"","parse-names":false,"suffix":""},{"dropping-particle":"","family":"Franchett","given":"M. E.","non-dropping-particle":"","parse-names":false,"suffix":""}],"container-title":"Journal of Heat Transfer","id":"ITEM-1","issue":"1","issued":{"</w:instrText>
      </w:r>
      <w:r>
        <w:instrText>date-parts":[["1988","2","1"]]},"page":"84-90","publisher":"American Society of Mechanical Engineers Digital Collection","title":"Heat transfer from a flat surface to an oblique impinging jet","type":"article-journal","volume":"110"},"uris":["http://www.me</w:instrText>
      </w:r>
      <w:r>
        <w:instrText>ndeley.com/documents/?uuid=6bca1791-193a-3c23-b8dc-a954f30a663f"]}],"mendeley":{"formattedCitation":"[4]","plainTextFormattedCitation":"[4]","previouslyFormattedCitation":"[4]"},"properties":{"noteIndex":0},"schema":"https://github.com/citation-style-langu</w:instrText>
      </w:r>
      <w:r>
        <w:instrText>age/schema/raw/master/csl-citation.json"}</w:instrText>
      </w:r>
      <w:r>
        <w:fldChar w:fldCharType="separate"/>
      </w:r>
      <w:r>
        <w:rPr>
          <w:b/>
          <w:bCs/>
        </w:rPr>
        <w:t>[</w:t>
      </w:r>
      <w:r>
        <w:fldChar w:fldCharType="end"/>
      </w:r>
      <w:r>
        <w:rPr>
          <w:b/>
          <w:bCs/>
        </w:rPr>
        <w:t>4]</w:t>
      </w:r>
      <w:r>
        <w:t xml:space="preserve"> for similar configurations.</w:t>
      </w:r>
    </w:p>
    <w:p w:rsidR="006F226B" w:rsidRDefault="006F226B">
      <w:pPr>
        <w:pStyle w:val="Textkrper2"/>
        <w:ind w:firstLine="0"/>
      </w:pPr>
    </w:p>
    <w:p w:rsidR="006F226B" w:rsidRDefault="00561F07">
      <w:pPr>
        <w:pStyle w:val="Textkrper2"/>
        <w:ind w:firstLine="0"/>
      </w:pPr>
      <w:r>
        <w:t xml:space="preserve">Results show excellent agreement with literature data </w:t>
      </w:r>
      <w:r>
        <w:rPr>
          <w:b/>
          <w:bCs/>
        </w:rPr>
        <w:t>(Figure 1)</w:t>
      </w:r>
      <w:r>
        <w:t xml:space="preserve"> and the baseline method, while accuracy is increased, especially in the wall jet region, thanks to the linearly va</w:t>
      </w:r>
      <w:r>
        <w:t>rying heat flux which results in a more regular wall temperature evolution.</w:t>
      </w:r>
    </w:p>
    <w:tbl>
      <w:tblPr>
        <w:tblW w:w="9029" w:type="dxa"/>
        <w:jc w:val="center"/>
        <w:tblLook w:val="00A0" w:firstRow="1" w:lastRow="0" w:firstColumn="1" w:lastColumn="0" w:noHBand="0" w:noVBand="0"/>
      </w:tblPr>
      <w:tblGrid>
        <w:gridCol w:w="9216"/>
      </w:tblGrid>
      <w:tr w:rsidR="006F226B">
        <w:trPr>
          <w:jc w:val="center"/>
        </w:trPr>
        <w:tc>
          <w:tcPr>
            <w:tcW w:w="9029" w:type="dxa"/>
            <w:shd w:val="clear" w:color="auto" w:fill="auto"/>
          </w:tcPr>
          <w:p w:rsidR="006F226B" w:rsidRDefault="006F226B">
            <w:pPr>
              <w:pStyle w:val="Textkrper2"/>
              <w:ind w:firstLine="0"/>
              <w:jc w:val="center"/>
            </w:pPr>
          </w:p>
          <w:p w:rsidR="006F226B" w:rsidRDefault="006F226B">
            <w:pPr>
              <w:pStyle w:val="Textkrper2"/>
              <w:ind w:firstLine="0"/>
              <w:jc w:val="center"/>
            </w:pPr>
          </w:p>
          <w:p w:rsidR="006F226B" w:rsidRDefault="006F226B">
            <w:pPr>
              <w:pStyle w:val="Textkrper2"/>
              <w:ind w:firstLine="0"/>
              <w:jc w:val="center"/>
            </w:pPr>
          </w:p>
          <w:p w:rsidR="006F226B" w:rsidRDefault="006F226B">
            <w:pPr>
              <w:pStyle w:val="Textkrper2"/>
              <w:ind w:firstLine="0"/>
            </w:pPr>
          </w:p>
          <w:p w:rsidR="006F226B" w:rsidRDefault="00561F07">
            <w:pPr>
              <w:pStyle w:val="Textkrper2"/>
              <w:ind w:firstLine="0"/>
              <w:jc w:val="center"/>
            </w:pPr>
            <w:r>
              <w:rPr>
                <w:noProof/>
              </w:rPr>
              <w:drawing>
                <wp:inline distT="0" distB="0" distL="0" distR="0">
                  <wp:extent cx="5714751" cy="2372360"/>
                  <wp:effectExtent l="0" t="0" r="635"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14751" cy="2372360"/>
                          </a:xfrm>
                          <a:prstGeom prst="rect">
                            <a:avLst/>
                          </a:prstGeom>
                        </pic:spPr>
                      </pic:pic>
                    </a:graphicData>
                  </a:graphic>
                </wp:inline>
              </w:drawing>
            </w:r>
          </w:p>
          <w:p w:rsidR="006F226B" w:rsidRDefault="006F226B">
            <w:pPr>
              <w:pStyle w:val="Textkrper2"/>
              <w:ind w:firstLine="0"/>
              <w:jc w:val="center"/>
            </w:pPr>
          </w:p>
          <w:p w:rsidR="006F226B" w:rsidRDefault="006F226B">
            <w:pPr>
              <w:pStyle w:val="Textkrper2"/>
              <w:ind w:firstLine="0"/>
              <w:jc w:val="center"/>
            </w:pPr>
          </w:p>
        </w:tc>
      </w:tr>
      <w:tr w:rsidR="006F226B">
        <w:trPr>
          <w:jc w:val="center"/>
        </w:trPr>
        <w:tc>
          <w:tcPr>
            <w:tcW w:w="9029" w:type="dxa"/>
            <w:shd w:val="clear" w:color="auto" w:fill="auto"/>
          </w:tcPr>
          <w:p w:rsidR="006F226B" w:rsidRDefault="00561F07">
            <w:pPr>
              <w:pStyle w:val="Textkrper2"/>
              <w:jc w:val="center"/>
              <w:rPr>
                <w:b/>
              </w:rPr>
            </w:pPr>
            <w:r>
              <w:rPr>
                <w:b/>
              </w:rPr>
              <w:lastRenderedPageBreak/>
              <w:t xml:space="preserve">Figure 1. </w:t>
            </w:r>
            <w:r>
              <w:rPr>
                <w:b/>
              </w:rPr>
              <w:t>Radial</w:t>
            </w:r>
            <w:r>
              <w:rPr>
                <w:b/>
              </w:rPr>
              <w:t xml:space="preserve"> Nusselt number distribution </w:t>
            </w:r>
            <w:r>
              <w:rPr>
                <w:b/>
              </w:rPr>
              <w:t>on a plate placed at a distance of 6 jet diameters from the jet exit at</w:t>
            </w:r>
            <w:r>
              <w:rPr>
                <w:b/>
              </w:rPr>
              <w:t xml:space="preserve"> Re=30000, </w:t>
            </w:r>
            <w:r>
              <w:rPr>
                <w:b/>
              </w:rPr>
              <w:t>and</w:t>
            </w:r>
            <w:r>
              <w:rPr>
                <w:b/>
              </w:rPr>
              <w:t xml:space="preserve"> comparison to Goldstein and </w:t>
            </w:r>
            <w:proofErr w:type="spellStart"/>
            <w:r>
              <w:rPr>
                <w:b/>
              </w:rPr>
              <w:t>Franchett</w:t>
            </w:r>
            <w:proofErr w:type="spellEnd"/>
            <w:r>
              <w:rPr>
                <w:b/>
              </w:rPr>
              <w:t xml:space="preserve"> </w:t>
            </w:r>
            <w:r>
              <w:fldChar w:fldCharType="begin"/>
            </w:r>
            <w:r>
              <w:rPr>
                <w:b/>
              </w:rPr>
              <w:instrText>AD</w:instrText>
            </w:r>
            <w:r>
              <w:rPr>
                <w:b/>
              </w:rPr>
              <w:instrText>DIN CSL_CITATION {"citationItems":[{"id":"ITEM-1","itemData":{"DOI":"10.1115/1.3250477","ISSN":"15288943","abstract":"Experiments are conducted to determine the heat transfer to a jet impinging at different oblique angles to a plane surface. The main porti</w:instrText>
            </w:r>
            <w:r>
              <w:rPr>
                <w:b/>
              </w:rPr>
              <w:instrText>on of the test plate contains a composite sheet of temperature-sensitive liquid crystal, which is sandwiched between a thin metallic-foil heater and a specially designed liquid bath. The results indicate a displacement of the peak heat transfer from the ge</w:instrText>
            </w:r>
            <w:r>
              <w:rPr>
                <w:b/>
              </w:rPr>
              <w:instrText xml:space="preserve">ometric center of the jet origin, the displacement being a function primarily of impingement angle. Contours of constant heat transfer coefficient are obtained and correlated with an empirical equation that permits determination of average Nusselt numbers </w:instrText>
            </w:r>
            <w:r>
              <w:rPr>
                <w:b/>
              </w:rPr>
              <w:instrText>over areas of interest. © 1988 by ASME.","author":[{"dropping-particle":"","family":"Goldstein","given":"R. J.","non-dropping-particle":"","parse-names":false,"suffix":""},{"dropping-particle":"","family":"Franchett","given":"M. E.","non-dropping-particle"</w:instrText>
            </w:r>
            <w:r>
              <w:rPr>
                <w:b/>
              </w:rPr>
              <w:instrText>:"","parse-names":false,"suffix":""}],"container-title":"Journal of Heat Transfer","id":"ITEM-1","issue":"1","issued":{"date-parts":[["1988","2","1"]]},"page":"84-90","publisher":"American Society of Mechanical Engineers Digital Collection","title":"Heat t</w:instrText>
            </w:r>
            <w:r>
              <w:rPr>
                <w:b/>
              </w:rPr>
              <w:instrText>ransfer from a flat surface to an oblique impinging jet","type":"article-journal","volume":"110"},"uris":["http://www.mendeley.com/documents/?uuid=6bca1791-193a-3c23-b8dc-a954f30a663f"]}],"mendeley":{"formattedCitation":"[4]","plainTextFormattedCitation":"</w:instrText>
            </w:r>
            <w:r>
              <w:rPr>
                <w:b/>
              </w:rPr>
              <w:instrText>[4]"},"properties":{"noteIndex":0},"schema":"https://github.com/citation-style-language/schema/raw/master/csl-citation.json"}</w:instrText>
            </w:r>
            <w:r>
              <w:rPr>
                <w:b/>
              </w:rPr>
              <w:fldChar w:fldCharType="separate"/>
            </w:r>
            <w:r>
              <w:rPr>
                <w:b/>
              </w:rPr>
              <w:t>[4</w:t>
            </w:r>
            <w:r>
              <w:rPr>
                <w:bCs/>
              </w:rPr>
              <w:t>]</w:t>
            </w:r>
            <w:r>
              <w:rPr>
                <w:b/>
              </w:rPr>
              <w:fldChar w:fldCharType="end"/>
            </w:r>
            <w:r>
              <w:rPr>
                <w:bCs/>
              </w:rPr>
              <w:t>.</w:t>
            </w:r>
          </w:p>
        </w:tc>
      </w:tr>
    </w:tbl>
    <w:p w:rsidR="006F226B" w:rsidRDefault="006F226B">
      <w:pPr>
        <w:pStyle w:val="Textkrper2"/>
      </w:pPr>
    </w:p>
    <w:p w:rsidR="006F226B" w:rsidRDefault="006F226B">
      <w:pPr>
        <w:pStyle w:val="Textkrper2"/>
      </w:pPr>
    </w:p>
    <w:p w:rsidR="006F226B" w:rsidRDefault="00561F07">
      <w:pPr>
        <w:pStyle w:val="ReferencesClauseTitle"/>
      </w:pPr>
      <w:r>
        <w:t>References</w:t>
      </w:r>
    </w:p>
    <w:p w:rsidR="006F226B" w:rsidRDefault="006F226B">
      <w:pPr>
        <w:pStyle w:val="Textkrper2"/>
      </w:pPr>
    </w:p>
    <w:p w:rsidR="006F226B" w:rsidRDefault="00561F07">
      <w:pPr>
        <w:widowControl w:val="0"/>
        <w:ind w:left="640" w:hanging="640"/>
        <w:rPr>
          <w:rFonts w:ascii="Times New Roman" w:hAnsi="Times New Roman"/>
        </w:rPr>
      </w:pPr>
      <w:r>
        <w:fldChar w:fldCharType="begin"/>
      </w:r>
      <w:r>
        <w:instrText>ADDIN Mendeley Bibliography CSL_BIBLIOGRAPHY</w:instrText>
      </w:r>
      <w:r>
        <w:fldChar w:fldCharType="separate"/>
      </w:r>
      <w:r>
        <w:rPr>
          <w:rFonts w:ascii="Times New Roman" w:hAnsi="Times New Roman"/>
        </w:rPr>
        <w:t>[1]</w:t>
      </w:r>
      <w:r>
        <w:rPr>
          <w:rFonts w:ascii="Times New Roman" w:hAnsi="Times New Roman"/>
        </w:rPr>
        <w:tab/>
      </w:r>
      <w:r>
        <w:rPr>
          <w:rFonts w:ascii="Times New Roman" w:hAnsi="Times New Roman"/>
        </w:rPr>
        <w:t xml:space="preserve">A. Terzis, P. Ott, J. Von Wolfersdorf, B. Weigand, and M. Cochet, “Detailed heat transfer distributions of narrow impingement channels for cast-in turbine airfoils,” </w:t>
      </w:r>
      <w:r>
        <w:rPr>
          <w:rFonts w:ascii="Times New Roman" w:hAnsi="Times New Roman"/>
          <w:i/>
          <w:iCs/>
        </w:rPr>
        <w:t>J. Turbomach.</w:t>
      </w:r>
      <w:r>
        <w:rPr>
          <w:rFonts w:ascii="Times New Roman" w:hAnsi="Times New Roman"/>
        </w:rPr>
        <w:t>, vol. 136, no. 9, Sep. 2014, doi: 10.1115/1.4027679.</w:t>
      </w:r>
    </w:p>
    <w:p w:rsidR="006F226B" w:rsidRDefault="00561F07">
      <w:pPr>
        <w:widowControl w:val="0"/>
        <w:ind w:left="640" w:hanging="640"/>
        <w:rPr>
          <w:rFonts w:ascii="Times New Roman" w:hAnsi="Times New Roman"/>
        </w:rPr>
      </w:pPr>
      <w:r>
        <w:rPr>
          <w:rFonts w:ascii="Times New Roman" w:hAnsi="Times New Roman"/>
        </w:rPr>
        <w:t>[2]</w:t>
      </w:r>
      <w:r>
        <w:rPr>
          <w:rFonts w:ascii="Times New Roman" w:hAnsi="Times New Roman"/>
        </w:rPr>
        <w:tab/>
        <w:t>E. Lutum, K. Semmle</w:t>
      </w:r>
      <w:r>
        <w:rPr>
          <w:rFonts w:ascii="Times New Roman" w:hAnsi="Times New Roman"/>
        </w:rPr>
        <w:t>r, and J. Wolfersdorf, “Cooled blade for a gas turbine,” Jan. 12, 2002.</w:t>
      </w:r>
      <w:r>
        <w:t xml:space="preserve"> </w:t>
      </w:r>
      <w:r>
        <w:rPr>
          <w:rFonts w:ascii="Calibri" w:hAnsi="Calibri" w:cs="Calibri"/>
        </w:rPr>
        <w:t>﻿</w:t>
      </w:r>
      <w:r>
        <w:rPr>
          <w:rFonts w:ascii="Times New Roman" w:hAnsi="Times New Roman"/>
        </w:rPr>
        <w:t>U.S. Patent, No. 6,379,118 B2</w:t>
      </w:r>
    </w:p>
    <w:p w:rsidR="006F226B" w:rsidRDefault="00561F07">
      <w:pPr>
        <w:widowControl w:val="0"/>
        <w:ind w:left="640" w:hanging="640"/>
        <w:rPr>
          <w:rFonts w:ascii="Times New Roman" w:hAnsi="Times New Roman"/>
        </w:rPr>
      </w:pPr>
      <w:r>
        <w:rPr>
          <w:rFonts w:ascii="Times New Roman" w:hAnsi="Times New Roman"/>
        </w:rPr>
        <w:t>[3]</w:t>
      </w:r>
      <w:r>
        <w:rPr>
          <w:rFonts w:ascii="Times New Roman" w:hAnsi="Times New Roman"/>
        </w:rPr>
        <w:tab/>
        <w:t>M. Gaffuri, A. Terzis, and P. Ott, “Evaluation of Heat Transfer Coefficients for an Impingement Cooling Cascade: Experimental Challenges and Prelimin</w:t>
      </w:r>
      <w:r>
        <w:rPr>
          <w:rFonts w:ascii="Times New Roman" w:hAnsi="Times New Roman"/>
        </w:rPr>
        <w:t xml:space="preserve">ary Results,” in </w:t>
      </w:r>
      <w:r>
        <w:rPr>
          <w:rFonts w:ascii="Times New Roman" w:hAnsi="Times New Roman"/>
          <w:i/>
          <w:iCs/>
        </w:rPr>
        <w:t>XXIV Biannual Symposium on Measuring Techniques in Turbomachinery Transonic and Supersonic Flow in Cascades and Turbomachines</w:t>
      </w:r>
      <w:r>
        <w:rPr>
          <w:rFonts w:ascii="Times New Roman" w:hAnsi="Times New Roman"/>
        </w:rPr>
        <w:t>, 2018, no. August, pp. 1–6.</w:t>
      </w:r>
    </w:p>
    <w:p w:rsidR="006F226B" w:rsidRDefault="00561F07">
      <w:pPr>
        <w:widowControl w:val="0"/>
        <w:ind w:left="640" w:hanging="640"/>
        <w:rPr>
          <w:rFonts w:ascii="Times New Roman" w:hAnsi="Times New Roman"/>
        </w:rPr>
      </w:pPr>
      <w:r>
        <w:rPr>
          <w:rFonts w:ascii="Times New Roman" w:hAnsi="Times New Roman"/>
        </w:rPr>
        <w:t>[4]</w:t>
      </w:r>
      <w:r>
        <w:rPr>
          <w:rFonts w:ascii="Times New Roman" w:hAnsi="Times New Roman"/>
        </w:rPr>
        <w:tab/>
        <w:t>R. J. Goldstein and M. E. Franchett, “Heat transfer from a flat surface to an obl</w:t>
      </w:r>
      <w:r>
        <w:rPr>
          <w:rFonts w:ascii="Times New Roman" w:hAnsi="Times New Roman"/>
        </w:rPr>
        <w:t xml:space="preserve">ique impinging jet,” </w:t>
      </w:r>
      <w:r>
        <w:rPr>
          <w:rFonts w:ascii="Times New Roman" w:hAnsi="Times New Roman"/>
          <w:i/>
          <w:iCs/>
        </w:rPr>
        <w:t>J. Heat Transfer</w:t>
      </w:r>
      <w:r>
        <w:rPr>
          <w:rFonts w:ascii="Times New Roman" w:hAnsi="Times New Roman"/>
        </w:rPr>
        <w:t>, vol. 110, no. 1, pp. 84–90, Feb. 1988, doi: 10.1115/1.3250477.</w:t>
      </w:r>
    </w:p>
    <w:p w:rsidR="006F226B" w:rsidRDefault="00561F07">
      <w:pPr>
        <w:widowControl w:val="0"/>
        <w:ind w:left="640" w:hanging="640"/>
        <w:rPr>
          <w:lang w:val="de-DE"/>
        </w:rPr>
      </w:pPr>
      <w:r>
        <w:fldChar w:fldCharType="end"/>
      </w:r>
    </w:p>
    <w:sectPr w:rsidR="006F226B">
      <w:type w:val="continuous"/>
      <w:pgSz w:w="11906" w:h="16838"/>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1F07" w:rsidRDefault="00561F07">
      <w:r>
        <w:separator/>
      </w:r>
    </w:p>
  </w:endnote>
  <w:endnote w:type="continuationSeparator" w:id="0">
    <w:p w:rsidR="00561F07" w:rsidRDefault="0056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226B" w:rsidRDefault="00561F07">
    <w:pPr>
      <w:pStyle w:val="Fuzeile"/>
      <w:jc w:val="right"/>
    </w:pPr>
    <w:r>
      <w:rPr>
        <w:rStyle w:val="Seitenzahl"/>
      </w:rPr>
      <w:fldChar w:fldCharType="begin"/>
    </w:r>
    <w:r>
      <w:rPr>
        <w:rStyle w:val="Seitenzahl"/>
      </w:rPr>
      <w:instrText>PAGE</w:instrText>
    </w:r>
    <w:r>
      <w:rPr>
        <w:rStyle w:val="Seitenzahl"/>
      </w:rPr>
      <w:fldChar w:fldCharType="separate"/>
    </w:r>
    <w:r>
      <w:rPr>
        <w:rStyle w:val="Seitenzahl"/>
      </w:rPr>
      <w:t>2</w:t>
    </w:r>
    <w:r>
      <w:rPr>
        <w:rStyle w:val="Seitenzahl"/>
      </w:rPr>
      <w:fldChar w:fldCharType="end"/>
    </w:r>
    <w:r>
      <w:rPr>
        <w:rStyle w:val="Seitenzahl"/>
      </w:rPr>
      <w:tab/>
    </w:r>
    <w:r>
      <w:rPr>
        <w:rStyle w:val="Seitenzahl"/>
      </w:rPr>
      <w:tab/>
    </w:r>
    <w:r>
      <w:rPr>
        <w:rStyle w:val="Seitenzahl"/>
        <w:rFonts w:ascii="Arial" w:hAnsi="Arial" w:cs="Arial"/>
        <w:sz w:val="20"/>
        <w:lang w:val="en-US"/>
      </w:rPr>
      <w:t>Santorini, Greece</w:t>
    </w:r>
    <w:r>
      <w:rPr>
        <w:rStyle w:val="Seitenzahl"/>
        <w:rFonts w:ascii="Arial" w:hAnsi="Arial" w:cs="Arial"/>
        <w:sz w:val="20"/>
      </w:rPr>
      <w:tab/>
    </w:r>
    <w:r>
      <w:rPr>
        <w:rStyle w:val="Seitenzahl"/>
        <w:rFonts w:ascii="Arial" w:hAnsi="Arial" w:cs="Arial"/>
        <w:sz w:val="20"/>
      </w:rPr>
      <w:tab/>
      <w:t>21 – 23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1F07" w:rsidRDefault="00561F07">
      <w:r>
        <w:separator/>
      </w:r>
    </w:p>
  </w:footnote>
  <w:footnote w:type="continuationSeparator" w:id="0">
    <w:p w:rsidR="00561F07" w:rsidRDefault="0056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226B" w:rsidRDefault="00561F07">
    <w:pPr>
      <w:pStyle w:val="Kopfzeile"/>
      <w:jc w:val="right"/>
      <w:rPr>
        <w:rFonts w:ascii="Arial" w:hAnsi="Arial" w:cs="Arial"/>
        <w:sz w:val="20"/>
      </w:rPr>
    </w:pPr>
    <w:r>
      <w:rPr>
        <w:rFonts w:ascii="Arial" w:hAnsi="Arial" w:cs="Arial"/>
        <w:sz w:val="20"/>
      </w:rPr>
      <w:t xml:space="preserve">XXV Biennial </w:t>
    </w:r>
    <w:r>
      <w:rPr>
        <w:rFonts w:ascii="Arial" w:hAnsi="Arial" w:cs="Arial"/>
        <w:sz w:val="20"/>
      </w:rPr>
      <w:t>Symposium on Measuring Techniques in Turbomachinery</w:t>
    </w:r>
  </w:p>
  <w:p w:rsidR="006F226B" w:rsidRDefault="00561F07">
    <w:pPr>
      <w:pStyle w:val="Kopfzeile"/>
      <w:jc w:val="right"/>
      <w:rPr>
        <w:rFonts w:ascii="Arial" w:hAnsi="Arial" w:cs="Arial"/>
        <w:sz w:val="20"/>
      </w:rPr>
    </w:pPr>
    <w:r>
      <w:rPr>
        <w:rFonts w:ascii="Arial" w:hAnsi="Arial" w:cs="Arial"/>
        <w:sz w:val="20"/>
      </w:rPr>
      <w:t>Transonic and Supersonic Flow in Cascades and Turbomachines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BDF"/>
    <w:multiLevelType w:val="multilevel"/>
    <w:tmpl w:val="CB725928"/>
    <w:lvl w:ilvl="0">
      <w:start w:val="1015"/>
      <w:numFmt w:val="decimal"/>
      <w:lvlText w:val="%1"/>
      <w:lvlJc w:val="left"/>
      <w:pPr>
        <w:ind w:left="820" w:hanging="4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944CB"/>
    <w:multiLevelType w:val="multilevel"/>
    <w:tmpl w:val="AEA2EA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2D5737"/>
    <w:multiLevelType w:val="multilevel"/>
    <w:tmpl w:val="5028A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6B"/>
    <w:rsid w:val="00561F07"/>
    <w:rsid w:val="006F226B"/>
    <w:rsid w:val="007448A1"/>
    <w:rsid w:val="0084015C"/>
    <w:rsid w:val="00C54F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815B20"/>
  <w15:docId w15:val="{54E79E06-01E8-1F49-9117-0A4AB3B2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uiPriority w:val="9"/>
    <w:qFormat/>
    <w:rsid w:val="005F1DF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FunotentextZchn">
    <w:name w:val="Fußnotentext Zchn"/>
    <w:basedOn w:val="Absatz-Standardschriftart"/>
    <w:link w:val="Funotentext"/>
    <w:uiPriority w:val="99"/>
    <w:semiHidden/>
    <w:qFormat/>
    <w:rsid w:val="00EB4D1A"/>
    <w:rPr>
      <w:rFonts w:ascii="Arial" w:hAnsi="Arial"/>
    </w:rPr>
  </w:style>
  <w:style w:type="character" w:customStyle="1" w:styleId="FootnoteCharacters">
    <w:name w:val="Footnote Characters"/>
    <w:basedOn w:val="Absatz-Standardschriftart"/>
    <w:uiPriority w:val="99"/>
    <w:semiHidden/>
    <w:unhideWhenUsed/>
    <w:qFormat/>
    <w:rsid w:val="00EB4D1A"/>
    <w:rPr>
      <w:vertAlign w:val="superscript"/>
    </w:rPr>
  </w:style>
  <w:style w:type="character" w:customStyle="1" w:styleId="FootnoteAnchor">
    <w:name w:val="Footnote Anchor"/>
    <w:rPr>
      <w:vertAlign w:val="superscript"/>
    </w:rPr>
  </w:style>
  <w:style w:type="character" w:customStyle="1" w:styleId="berschrift1Zchn">
    <w:name w:val="Überschrift 1 Zchn"/>
    <w:basedOn w:val="Absatz-Standardschriftart"/>
    <w:uiPriority w:val="9"/>
    <w:qFormat/>
    <w:rsid w:val="005F1DF6"/>
    <w:rPr>
      <w:rFonts w:asciiTheme="majorHAnsi" w:eastAsiaTheme="majorEastAsia" w:hAnsiTheme="majorHAnsi" w:cstheme="majorBidi"/>
      <w:b/>
      <w:bCs/>
      <w:color w:val="2E74B5" w:themeColor="accent1" w:themeShade="BF"/>
      <w:sz w:val="28"/>
      <w:szCs w:val="28"/>
      <w:lang w:val="de-DE" w:eastAsia="de-DE"/>
    </w:rPr>
  </w:style>
  <w:style w:type="character" w:styleId="Hyperlink">
    <w:name w:val="Hyperlink"/>
    <w:basedOn w:val="Absatz-Standardschriftart"/>
    <w:uiPriority w:val="99"/>
    <w:unhideWhenUsed/>
    <w:rsid w:val="00436957"/>
    <w:rPr>
      <w:color w:val="0563C1" w:themeColor="hyperlink"/>
      <w:u w:val="single"/>
    </w:rPr>
  </w:style>
  <w:style w:type="character" w:styleId="NichtaufgelsteErwhnung">
    <w:name w:val="Unresolved Mention"/>
    <w:basedOn w:val="Absatz-Standardschriftart"/>
    <w:uiPriority w:val="99"/>
    <w:semiHidden/>
    <w:unhideWhenUsed/>
    <w:qFormat/>
    <w:rsid w:val="00436957"/>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Droid Sans Fallback"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rPr>
  </w:style>
  <w:style w:type="paragraph" w:customStyle="1" w:styleId="Index">
    <w:name w:val="Index"/>
    <w:basedOn w:val="Standard"/>
    <w:qFormat/>
    <w:pPr>
      <w:suppressLineNumbers/>
    </w:pPr>
    <w:rPr>
      <w:rFonts w:cs="FreeSans"/>
    </w:rPr>
  </w:style>
  <w:style w:type="paragraph" w:styleId="Abbildungsverzeichnis">
    <w:name w:val="table of figures"/>
    <w:basedOn w:val="Standard"/>
    <w:next w:val="Standard"/>
    <w:semiHidden/>
    <w:qFormat/>
    <w:pPr>
      <w:ind w:left="480" w:hanging="480"/>
      <w:jc w:val="both"/>
    </w:pPr>
    <w:rPr>
      <w:sz w:val="24"/>
      <w:szCs w:val="20"/>
      <w:lang w:val="en-GB"/>
    </w:rPr>
  </w:style>
  <w:style w:type="paragraph" w:customStyle="1" w:styleId="AbstractClauseTitle">
    <w:name w:val="Abstract Clause Title"/>
    <w:basedOn w:val="Standard"/>
    <w:next w:val="Textkrper2"/>
    <w:qFormat/>
    <w:pPr>
      <w:keepNext/>
      <w:jc w:val="both"/>
      <w:textAlignment w:val="baseline"/>
    </w:pPr>
    <w:rPr>
      <w:b/>
      <w:caps/>
      <w:kern w:val="2"/>
      <w:szCs w:val="20"/>
    </w:rPr>
  </w:style>
  <w:style w:type="paragraph" w:styleId="Textkrper2">
    <w:name w:val="Body Text 2"/>
    <w:basedOn w:val="Standard"/>
    <w:qFormat/>
    <w:pPr>
      <w:ind w:firstLine="360"/>
      <w:jc w:val="both"/>
      <w:textAlignment w:val="baseline"/>
    </w:pPr>
    <w:rPr>
      <w:rFonts w:ascii="Times New Roman" w:hAnsi="Times New Roman"/>
      <w:kern w:val="2"/>
      <w:szCs w:val="20"/>
    </w:rPr>
  </w:style>
  <w:style w:type="paragraph" w:customStyle="1" w:styleId="AcknowledgmentsClauseTitle">
    <w:name w:val="Acknowledgments Clause Title"/>
    <w:basedOn w:val="Standard"/>
    <w:next w:val="Textkrper2"/>
    <w:qFormat/>
    <w:pPr>
      <w:keepNext/>
      <w:spacing w:before="240"/>
      <w:jc w:val="both"/>
      <w:textAlignment w:val="baseline"/>
    </w:pPr>
    <w:rPr>
      <w:b/>
      <w:caps/>
      <w:kern w:val="2"/>
      <w:szCs w:val="20"/>
    </w:rPr>
  </w:style>
  <w:style w:type="paragraph" w:customStyle="1" w:styleId="NomenclatureClauseTitle">
    <w:name w:val="Nomenclature Clause Title"/>
    <w:basedOn w:val="Standard"/>
    <w:next w:val="Textkrper2"/>
    <w:qFormat/>
    <w:pPr>
      <w:keepNext/>
      <w:spacing w:before="240"/>
      <w:jc w:val="both"/>
      <w:textAlignment w:val="baseline"/>
    </w:pPr>
    <w:rPr>
      <w:b/>
      <w:caps/>
      <w:kern w:val="2"/>
      <w:szCs w:val="20"/>
    </w:rPr>
  </w:style>
  <w:style w:type="paragraph" w:customStyle="1" w:styleId="ReferencesClauseTitle">
    <w:name w:val="References Clause Title"/>
    <w:basedOn w:val="Standard"/>
    <w:next w:val="Textkrper2"/>
    <w:qFormat/>
    <w:pPr>
      <w:keepNext/>
      <w:spacing w:before="240"/>
      <w:jc w:val="both"/>
      <w:textAlignment w:val="baseline"/>
    </w:pPr>
    <w:rPr>
      <w:b/>
      <w:caps/>
      <w:kern w:val="2"/>
      <w:szCs w:val="20"/>
    </w:rPr>
  </w:style>
  <w:style w:type="paragraph" w:customStyle="1" w:styleId="Affiliation">
    <w:name w:val="Affiliation"/>
    <w:basedOn w:val="Standard"/>
    <w:qFormat/>
    <w:pPr>
      <w:jc w:val="center"/>
      <w:textAlignment w:val="baseline"/>
    </w:pPr>
    <w:rPr>
      <w:kern w:val="2"/>
      <w:szCs w:val="20"/>
    </w:rPr>
  </w:style>
  <w:style w:type="paragraph" w:styleId="Titel">
    <w:name w:val="Title"/>
    <w:basedOn w:val="Standard"/>
    <w:qFormat/>
    <w:pPr>
      <w:spacing w:before="760"/>
      <w:jc w:val="center"/>
      <w:textAlignment w:val="baseline"/>
    </w:pPr>
    <w:rPr>
      <w:b/>
      <w:caps/>
      <w:kern w:val="2"/>
      <w:sz w:val="24"/>
      <w:szCs w:val="20"/>
    </w:rPr>
  </w:style>
  <w:style w:type="paragraph" w:customStyle="1" w:styleId="HeaderandFooter">
    <w:name w:val="Header and Footer"/>
    <w:basedOn w:val="Standard"/>
    <w:qFormat/>
  </w:style>
  <w:style w:type="paragraph" w:styleId="Kopfzeile">
    <w:name w:val="header"/>
    <w:basedOn w:val="Standard"/>
    <w:pPr>
      <w:tabs>
        <w:tab w:val="center" w:pos="4320"/>
        <w:tab w:val="right" w:pos="8640"/>
      </w:tabs>
    </w:pPr>
    <w:rPr>
      <w:rFonts w:ascii="Times New Roman" w:hAnsi="Times New Roman"/>
      <w:sz w:val="24"/>
      <w:lang w:val="en-GB"/>
    </w:rPr>
  </w:style>
  <w:style w:type="paragraph" w:styleId="Fuzeile">
    <w:name w:val="footer"/>
    <w:basedOn w:val="Standard"/>
    <w:pPr>
      <w:tabs>
        <w:tab w:val="center" w:pos="4320"/>
        <w:tab w:val="right" w:pos="8640"/>
      </w:tabs>
    </w:pPr>
    <w:rPr>
      <w:rFonts w:ascii="Times New Roman" w:hAnsi="Times New Roman"/>
      <w:sz w:val="24"/>
      <w:lang w:val="en-GB"/>
    </w:rPr>
  </w:style>
  <w:style w:type="paragraph" w:styleId="StandardWeb">
    <w:name w:val="Normal (Web)"/>
    <w:basedOn w:val="Standard"/>
    <w:uiPriority w:val="99"/>
    <w:semiHidden/>
    <w:unhideWhenUsed/>
    <w:qFormat/>
    <w:rsid w:val="00830204"/>
    <w:pPr>
      <w:spacing w:beforeAutospacing="1" w:afterAutospacing="1"/>
    </w:pPr>
    <w:rPr>
      <w:rFonts w:ascii="Times New Roman" w:hAnsi="Times New Roman"/>
      <w:sz w:val="24"/>
      <w:lang w:val="de-DE" w:eastAsia="de-DE"/>
    </w:rPr>
  </w:style>
  <w:style w:type="paragraph" w:styleId="Funotentext">
    <w:name w:val="footnote text"/>
    <w:basedOn w:val="Standard"/>
    <w:link w:val="FunotentextZchn"/>
    <w:uiPriority w:val="99"/>
    <w:semiHidden/>
    <w:unhideWhenUsed/>
    <w:rsid w:val="00EB4D1A"/>
    <w:rPr>
      <w:szCs w:val="20"/>
    </w:rPr>
  </w:style>
  <w:style w:type="paragraph" w:styleId="Listenabsatz">
    <w:name w:val="List Paragraph"/>
    <w:basedOn w:val="Standard"/>
    <w:uiPriority w:val="34"/>
    <w:qFormat/>
    <w:rsid w:val="00623DDE"/>
    <w:pPr>
      <w:ind w:left="720"/>
      <w:contextualSpacing/>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ulschmid@ethz.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06F7-3F13-AA45-BBED-A17D1E5E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12100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PUT PAPER TITLE HERE</vt:lpstr>
    </vt:vector>
  </TitlesOfParts>
  <Company>KTH</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dc:description/>
  <cp:lastModifiedBy>Schmid  Julian</cp:lastModifiedBy>
  <cp:revision>2</cp:revision>
  <dcterms:created xsi:type="dcterms:W3CDTF">2020-05-28T07:53:00Z</dcterms:created>
  <dcterms:modified xsi:type="dcterms:W3CDTF">2020-05-28T07:53:00Z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KTH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http://www.zotero.org/styles/ieee</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http://www.zotero.org/styles/harvard-cite-them-right</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http://www.zotero.org/styles/nature</vt:lpwstr>
  </property>
  <property fmtid="{D5CDD505-2E9C-101B-9397-08002B2CF9AE}" pid="19" name="Mendeley Recent Style Name 0_1">
    <vt:lpwstr>American Medical Association 11th edition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7th edition</vt:lpwstr>
  </property>
  <property fmtid="{D5CDD505-2E9C-101B-9397-08002B2CF9AE}" pid="22" name="Mendeley Recent Style Name 3_1">
    <vt:lpwstr>American Sociological Association 6th edition</vt:lpwstr>
  </property>
  <property fmtid="{D5CDD505-2E9C-101B-9397-08002B2CF9AE}" pid="23" name="Mendeley Recent Style Name 4_1">
    <vt:lpwstr>Chicago Manual of Style 17th edition (author-date)</vt:lpwstr>
  </property>
  <property fmtid="{D5CDD505-2E9C-101B-9397-08002B2CF9AE}" pid="24" name="Mendeley Recent Style Name 5_1">
    <vt:lpwstr>Cite Them Right 10th edition - Harvard</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8th edition</vt:lpwstr>
  </property>
  <property fmtid="{D5CDD505-2E9C-101B-9397-08002B2CF9AE}" pid="28" name="Mendeley Recent Style Name 9_1">
    <vt:lpwstr>Nature</vt:lpwstr>
  </property>
  <property fmtid="{D5CDD505-2E9C-101B-9397-08002B2CF9AE}" pid="29" name="Mendeley Unique User Id_1">
    <vt:lpwstr>34ba9509-f9a3-3521-abba-ec0a280e37a9</vt:lpwstr>
  </property>
  <property fmtid="{D5CDD505-2E9C-101B-9397-08002B2CF9AE}" pid="30" name="PAPERS2_INFO_01">
    <vt:lpwstr>&lt;info&gt;&lt;style id="http://www.zotero.org/styles/chicago-fullnote-bibliography"/&gt;&lt;format class="22"/&gt;&lt;count citations="1" publications="1"/&gt;&lt;/info&gt;PAPERS2_INFO_END</vt:lpwstr>
  </property>
  <property fmtid="{D5CDD505-2E9C-101B-9397-08002B2CF9AE}" pid="31" name="ScaleCrop">
    <vt:bool>false</vt:bool>
  </property>
  <property fmtid="{D5CDD505-2E9C-101B-9397-08002B2CF9AE}" pid="32" name="ShareDoc">
    <vt:bool>false</vt:bool>
  </property>
</Properties>
</file>